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A3E87" w14:paraId="0DABACA9" w14:textId="77777777">
        <w:trPr>
          <w:tblCellSpacing w:w="60" w:type="dxa"/>
        </w:trPr>
        <w:tc>
          <w:tcPr>
            <w:tcW w:w="1200" w:type="pct"/>
            <w:shd w:val="clear" w:color="auto" w:fill="E7F0F9"/>
          </w:tcPr>
          <w:p w14:paraId="0910A579" w14:textId="77777777" w:rsidR="00BA3E87" w:rsidRDefault="000B2BF4">
            <w:pPr>
              <w:spacing w:after="0" w:line="240" w:lineRule="auto"/>
            </w:pPr>
            <w:r>
              <w:rPr>
                <w:b/>
              </w:rPr>
              <w:t>RKP broj</w:t>
            </w:r>
          </w:p>
        </w:tc>
        <w:tc>
          <w:tcPr>
            <w:tcW w:w="0" w:type="auto"/>
            <w:shd w:val="clear" w:color="auto" w:fill="E7F0F9"/>
          </w:tcPr>
          <w:p w14:paraId="5EA8D2CB" w14:textId="77777777" w:rsidR="00BA3E87" w:rsidRDefault="000B2BF4">
            <w:pPr>
              <w:spacing w:after="0" w:line="240" w:lineRule="auto"/>
            </w:pPr>
            <w:r>
              <w:t>32043</w:t>
            </w:r>
          </w:p>
        </w:tc>
      </w:tr>
      <w:tr w:rsidR="00BA3E87" w14:paraId="02FFC835" w14:textId="77777777">
        <w:trPr>
          <w:tblCellSpacing w:w="60" w:type="dxa"/>
        </w:trPr>
        <w:tc>
          <w:tcPr>
            <w:tcW w:w="1200" w:type="pct"/>
            <w:shd w:val="clear" w:color="auto" w:fill="E7F0F9"/>
          </w:tcPr>
          <w:p w14:paraId="0E0B8CFD" w14:textId="77777777" w:rsidR="00BA3E87" w:rsidRDefault="000B2BF4">
            <w:pPr>
              <w:spacing w:after="0" w:line="240" w:lineRule="auto"/>
            </w:pPr>
            <w:r>
              <w:rPr>
                <w:b/>
              </w:rPr>
              <w:t>Naziv obveznika</w:t>
            </w:r>
          </w:p>
        </w:tc>
        <w:tc>
          <w:tcPr>
            <w:tcW w:w="0" w:type="auto"/>
            <w:shd w:val="clear" w:color="auto" w:fill="E7F0F9"/>
          </w:tcPr>
          <w:p w14:paraId="6C2C8539" w14:textId="77777777" w:rsidR="00BA3E87" w:rsidRDefault="000B2BF4">
            <w:pPr>
              <w:spacing w:after="0" w:line="240" w:lineRule="auto"/>
            </w:pPr>
            <w:r>
              <w:t>VARAŽDINSKA ŽUPANIJA</w:t>
            </w:r>
          </w:p>
        </w:tc>
      </w:tr>
      <w:tr w:rsidR="00BA3E87" w14:paraId="129F40D4" w14:textId="77777777">
        <w:trPr>
          <w:tblCellSpacing w:w="60" w:type="dxa"/>
        </w:trPr>
        <w:tc>
          <w:tcPr>
            <w:tcW w:w="1200" w:type="pct"/>
            <w:shd w:val="clear" w:color="auto" w:fill="E7F0F9"/>
          </w:tcPr>
          <w:p w14:paraId="29B04D55" w14:textId="77777777" w:rsidR="00BA3E87" w:rsidRDefault="000B2BF4">
            <w:pPr>
              <w:spacing w:after="0" w:line="240" w:lineRule="auto"/>
            </w:pPr>
            <w:r>
              <w:rPr>
                <w:b/>
              </w:rPr>
              <w:t>Razina</w:t>
            </w:r>
          </w:p>
        </w:tc>
        <w:tc>
          <w:tcPr>
            <w:tcW w:w="0" w:type="auto"/>
            <w:shd w:val="clear" w:color="auto" w:fill="E7F0F9"/>
          </w:tcPr>
          <w:p w14:paraId="6B937292" w14:textId="77777777" w:rsidR="00BA3E87" w:rsidRDefault="000B2BF4">
            <w:pPr>
              <w:spacing w:after="0" w:line="240" w:lineRule="auto"/>
            </w:pPr>
            <w:r>
              <w:t>22</w:t>
            </w:r>
          </w:p>
        </w:tc>
      </w:tr>
    </w:tbl>
    <w:p w14:paraId="0286CD2D" w14:textId="77777777" w:rsidR="00BA3E87" w:rsidRDefault="000B2BF4">
      <w:r>
        <w:br/>
      </w:r>
    </w:p>
    <w:p w14:paraId="0879E7C1" w14:textId="77777777" w:rsidR="00BA3E87" w:rsidRDefault="000B2BF4">
      <w:pPr>
        <w:spacing w:line="240" w:lineRule="auto"/>
        <w:jc w:val="center"/>
      </w:pPr>
      <w:r>
        <w:rPr>
          <w:b/>
          <w:sz w:val="28"/>
        </w:rPr>
        <w:t>BILJEŠKE UZ FINANCIJSKE IZVJEŠTAJE</w:t>
      </w:r>
    </w:p>
    <w:p w14:paraId="47BC97A1" w14:textId="77777777" w:rsidR="00BA3E87" w:rsidRDefault="000B2BF4">
      <w:pPr>
        <w:spacing w:line="240" w:lineRule="auto"/>
        <w:jc w:val="center"/>
      </w:pPr>
      <w:r>
        <w:rPr>
          <w:b/>
          <w:sz w:val="28"/>
        </w:rPr>
        <w:t>ZA RAZDOBLJE</w:t>
      </w:r>
    </w:p>
    <w:p w14:paraId="2911D505" w14:textId="77777777" w:rsidR="00BA3E87" w:rsidRDefault="000B2BF4">
      <w:pPr>
        <w:spacing w:line="240" w:lineRule="auto"/>
        <w:jc w:val="center"/>
      </w:pPr>
      <w:r>
        <w:rPr>
          <w:b/>
          <w:sz w:val="28"/>
        </w:rPr>
        <w:t>I - XII 2025.</w:t>
      </w:r>
    </w:p>
    <w:p w14:paraId="2C25EDB2" w14:textId="77777777" w:rsidR="00BA3E87" w:rsidRDefault="00BA3E87"/>
    <w:p w14:paraId="461C8714" w14:textId="77777777" w:rsidR="00BA3E87" w:rsidRDefault="000B2BF4">
      <w:pPr>
        <w:keepNext/>
        <w:spacing w:line="240" w:lineRule="auto"/>
        <w:jc w:val="center"/>
      </w:pPr>
      <w:r>
        <w:rPr>
          <w:b/>
          <w:sz w:val="28"/>
        </w:rPr>
        <w:t>Izvještaj o prihodima i rashodima, primicima i izdacima</w:t>
      </w:r>
    </w:p>
    <w:p w14:paraId="4F76D3B2" w14:textId="77777777" w:rsidR="00BA3E87" w:rsidRDefault="000B2BF4">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392C4A76" w14:textId="77777777">
        <w:trPr>
          <w:cantSplit/>
        </w:trPr>
        <w:tc>
          <w:tcPr>
            <w:tcW w:w="700" w:type="dxa"/>
            <w:shd w:val="clear" w:color="auto" w:fill="E7F0F9"/>
            <w:tcMar>
              <w:top w:w="0" w:type="dxa"/>
              <w:bottom w:w="0" w:type="dxa"/>
            </w:tcMar>
            <w:vAlign w:val="center"/>
          </w:tcPr>
          <w:p w14:paraId="1CA42DCE"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7DFF04"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AD2BB9"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7327EE"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CFB97E"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0BDD0E" w14:textId="77777777" w:rsidR="00BA3E87" w:rsidRDefault="000B2BF4">
            <w:pPr>
              <w:keepNext/>
              <w:keepLines/>
              <w:spacing w:after="0" w:line="240" w:lineRule="auto"/>
              <w:jc w:val="center"/>
            </w:pPr>
            <w:r>
              <w:rPr>
                <w:b/>
                <w:sz w:val="18"/>
              </w:rPr>
              <w:t>Indeks (%)</w:t>
            </w:r>
          </w:p>
        </w:tc>
      </w:tr>
      <w:tr w:rsidR="00BA3E87" w14:paraId="088395AD" w14:textId="77777777">
        <w:trPr>
          <w:cantSplit/>
          <w:trHeight w:val="560"/>
        </w:trPr>
        <w:tc>
          <w:tcPr>
            <w:tcW w:w="700" w:type="dxa"/>
            <w:tcMar>
              <w:top w:w="0" w:type="dxa"/>
              <w:bottom w:w="0" w:type="dxa"/>
            </w:tcMar>
            <w:vAlign w:val="center"/>
          </w:tcPr>
          <w:p w14:paraId="73316BAD" w14:textId="77777777" w:rsidR="00BA3E87" w:rsidRDefault="000B2BF4">
            <w:pPr>
              <w:keepNext/>
              <w:keepLines/>
              <w:spacing w:after="0" w:line="240" w:lineRule="auto"/>
            </w:pPr>
            <w:r>
              <w:rPr>
                <w:sz w:val="18"/>
              </w:rPr>
              <w:t>6</w:t>
            </w:r>
          </w:p>
        </w:tc>
        <w:tc>
          <w:tcPr>
            <w:tcW w:w="3180" w:type="dxa"/>
            <w:tcMar>
              <w:top w:w="0" w:type="dxa"/>
              <w:bottom w:w="0" w:type="dxa"/>
            </w:tcMar>
            <w:vAlign w:val="center"/>
          </w:tcPr>
          <w:p w14:paraId="49FCD1BF" w14:textId="77777777" w:rsidR="00BA3E87" w:rsidRDefault="000B2BF4">
            <w:pPr>
              <w:keepNext/>
              <w:keepLines/>
              <w:spacing w:after="0" w:line="240" w:lineRule="auto"/>
            </w:pPr>
            <w:r>
              <w:rPr>
                <w:sz w:val="18"/>
              </w:rPr>
              <w:t>PRIHODI POSLOVANJA (šifre 61+62+63+64+65+66+67+68)</w:t>
            </w:r>
          </w:p>
        </w:tc>
        <w:tc>
          <w:tcPr>
            <w:tcW w:w="700" w:type="dxa"/>
            <w:tcMar>
              <w:top w:w="0" w:type="dxa"/>
              <w:bottom w:w="0" w:type="dxa"/>
            </w:tcMar>
            <w:vAlign w:val="center"/>
          </w:tcPr>
          <w:p w14:paraId="030756A5" w14:textId="77777777" w:rsidR="00BA3E87" w:rsidRDefault="000B2BF4">
            <w:pPr>
              <w:keepNext/>
              <w:keepLines/>
              <w:spacing w:after="0" w:line="240" w:lineRule="auto"/>
            </w:pPr>
            <w:r>
              <w:rPr>
                <w:sz w:val="18"/>
              </w:rPr>
              <w:t>6</w:t>
            </w:r>
          </w:p>
        </w:tc>
        <w:tc>
          <w:tcPr>
            <w:tcW w:w="1860" w:type="dxa"/>
            <w:tcMar>
              <w:top w:w="0" w:type="dxa"/>
              <w:bottom w:w="0" w:type="dxa"/>
            </w:tcMar>
            <w:vAlign w:val="center"/>
          </w:tcPr>
          <w:p w14:paraId="4B93ABA4" w14:textId="77777777" w:rsidR="00BA3E87" w:rsidRDefault="000B2BF4">
            <w:pPr>
              <w:keepNext/>
              <w:keepLines/>
              <w:spacing w:after="0" w:line="240" w:lineRule="auto"/>
              <w:jc w:val="right"/>
            </w:pPr>
            <w:r>
              <w:rPr>
                <w:sz w:val="18"/>
              </w:rPr>
              <w:t>50.766.371,90</w:t>
            </w:r>
          </w:p>
        </w:tc>
        <w:tc>
          <w:tcPr>
            <w:tcW w:w="1860" w:type="dxa"/>
            <w:tcMar>
              <w:top w:w="0" w:type="dxa"/>
              <w:bottom w:w="0" w:type="dxa"/>
            </w:tcMar>
            <w:vAlign w:val="center"/>
          </w:tcPr>
          <w:p w14:paraId="7B2C9927" w14:textId="77777777" w:rsidR="00BA3E87" w:rsidRDefault="000B2BF4">
            <w:pPr>
              <w:keepNext/>
              <w:keepLines/>
              <w:spacing w:after="0" w:line="240" w:lineRule="auto"/>
              <w:jc w:val="right"/>
            </w:pPr>
            <w:r>
              <w:rPr>
                <w:sz w:val="18"/>
              </w:rPr>
              <w:t>59.585.850,04</w:t>
            </w:r>
          </w:p>
        </w:tc>
        <w:tc>
          <w:tcPr>
            <w:tcW w:w="700" w:type="dxa"/>
            <w:tcMar>
              <w:top w:w="0" w:type="dxa"/>
              <w:bottom w:w="0" w:type="dxa"/>
            </w:tcMar>
            <w:vAlign w:val="center"/>
          </w:tcPr>
          <w:p w14:paraId="78FC778F" w14:textId="77777777" w:rsidR="00BA3E87" w:rsidRDefault="000B2BF4">
            <w:pPr>
              <w:keepNext/>
              <w:keepLines/>
              <w:spacing w:after="0" w:line="240" w:lineRule="auto"/>
              <w:jc w:val="right"/>
            </w:pPr>
            <w:r>
              <w:rPr>
                <w:sz w:val="18"/>
              </w:rPr>
              <w:t>117,4</w:t>
            </w:r>
          </w:p>
        </w:tc>
      </w:tr>
      <w:tr w:rsidR="00BA3E87" w14:paraId="3F9936C1" w14:textId="77777777">
        <w:trPr>
          <w:cantSplit/>
          <w:trHeight w:val="560"/>
        </w:trPr>
        <w:tc>
          <w:tcPr>
            <w:tcW w:w="700" w:type="dxa"/>
            <w:tcMar>
              <w:top w:w="0" w:type="dxa"/>
              <w:bottom w:w="0" w:type="dxa"/>
            </w:tcMar>
            <w:vAlign w:val="center"/>
          </w:tcPr>
          <w:p w14:paraId="3B11B08A" w14:textId="77777777" w:rsidR="00BA3E87" w:rsidRDefault="000B2BF4">
            <w:pPr>
              <w:keepNext/>
              <w:keepLines/>
              <w:spacing w:after="0" w:line="240" w:lineRule="auto"/>
            </w:pPr>
            <w:r>
              <w:rPr>
                <w:sz w:val="18"/>
              </w:rPr>
              <w:t>3</w:t>
            </w:r>
          </w:p>
        </w:tc>
        <w:tc>
          <w:tcPr>
            <w:tcW w:w="3180" w:type="dxa"/>
            <w:tcMar>
              <w:top w:w="0" w:type="dxa"/>
              <w:bottom w:w="0" w:type="dxa"/>
            </w:tcMar>
            <w:vAlign w:val="center"/>
          </w:tcPr>
          <w:p w14:paraId="30AE7BCB" w14:textId="77777777" w:rsidR="00BA3E87" w:rsidRDefault="000B2BF4">
            <w:pPr>
              <w:keepNext/>
              <w:keepLines/>
              <w:spacing w:after="0" w:line="240" w:lineRule="auto"/>
            </w:pPr>
            <w:r>
              <w:rPr>
                <w:sz w:val="18"/>
              </w:rPr>
              <w:t>RASHODI POSLOVANJA (šifre 31+32+34+35+36+37+38)</w:t>
            </w:r>
          </w:p>
        </w:tc>
        <w:tc>
          <w:tcPr>
            <w:tcW w:w="700" w:type="dxa"/>
            <w:tcMar>
              <w:top w:w="0" w:type="dxa"/>
              <w:bottom w:w="0" w:type="dxa"/>
            </w:tcMar>
            <w:vAlign w:val="center"/>
          </w:tcPr>
          <w:p w14:paraId="30CFF689" w14:textId="77777777" w:rsidR="00BA3E87" w:rsidRDefault="000B2BF4">
            <w:pPr>
              <w:keepNext/>
              <w:keepLines/>
              <w:spacing w:after="0" w:line="240" w:lineRule="auto"/>
            </w:pPr>
            <w:r>
              <w:rPr>
                <w:sz w:val="18"/>
              </w:rPr>
              <w:t>3</w:t>
            </w:r>
          </w:p>
        </w:tc>
        <w:tc>
          <w:tcPr>
            <w:tcW w:w="1860" w:type="dxa"/>
            <w:tcMar>
              <w:top w:w="0" w:type="dxa"/>
              <w:bottom w:w="0" w:type="dxa"/>
            </w:tcMar>
            <w:vAlign w:val="center"/>
          </w:tcPr>
          <w:p w14:paraId="3531ACCD" w14:textId="77777777" w:rsidR="00BA3E87" w:rsidRDefault="000B2BF4">
            <w:pPr>
              <w:keepNext/>
              <w:keepLines/>
              <w:spacing w:after="0" w:line="240" w:lineRule="auto"/>
              <w:jc w:val="right"/>
            </w:pPr>
            <w:r>
              <w:rPr>
                <w:sz w:val="18"/>
              </w:rPr>
              <w:t>45.906.731,58</w:t>
            </w:r>
          </w:p>
        </w:tc>
        <w:tc>
          <w:tcPr>
            <w:tcW w:w="1860" w:type="dxa"/>
            <w:tcMar>
              <w:top w:w="0" w:type="dxa"/>
              <w:bottom w:w="0" w:type="dxa"/>
            </w:tcMar>
            <w:vAlign w:val="center"/>
          </w:tcPr>
          <w:p w14:paraId="4DBF15CE" w14:textId="77777777" w:rsidR="00BA3E87" w:rsidRDefault="000B2BF4">
            <w:pPr>
              <w:keepNext/>
              <w:keepLines/>
              <w:spacing w:after="0" w:line="240" w:lineRule="auto"/>
              <w:jc w:val="right"/>
            </w:pPr>
            <w:r>
              <w:rPr>
                <w:sz w:val="18"/>
              </w:rPr>
              <w:t>58.146.422,47</w:t>
            </w:r>
          </w:p>
        </w:tc>
        <w:tc>
          <w:tcPr>
            <w:tcW w:w="700" w:type="dxa"/>
            <w:tcMar>
              <w:top w:w="0" w:type="dxa"/>
              <w:bottom w:w="0" w:type="dxa"/>
            </w:tcMar>
            <w:vAlign w:val="center"/>
          </w:tcPr>
          <w:p w14:paraId="36B457CD" w14:textId="77777777" w:rsidR="00BA3E87" w:rsidRDefault="000B2BF4">
            <w:pPr>
              <w:keepNext/>
              <w:keepLines/>
              <w:spacing w:after="0" w:line="240" w:lineRule="auto"/>
              <w:jc w:val="right"/>
            </w:pPr>
            <w:r>
              <w:rPr>
                <w:sz w:val="18"/>
              </w:rPr>
              <w:t>126,7</w:t>
            </w:r>
          </w:p>
        </w:tc>
      </w:tr>
      <w:tr w:rsidR="00BA3E87" w14:paraId="1D303BD0" w14:textId="77777777">
        <w:trPr>
          <w:cantSplit/>
          <w:trHeight w:val="560"/>
        </w:trPr>
        <w:tc>
          <w:tcPr>
            <w:tcW w:w="700" w:type="dxa"/>
            <w:tcMar>
              <w:top w:w="0" w:type="dxa"/>
              <w:bottom w:w="0" w:type="dxa"/>
            </w:tcMar>
            <w:vAlign w:val="center"/>
          </w:tcPr>
          <w:p w14:paraId="73D65770" w14:textId="77777777" w:rsidR="00BA3E87" w:rsidRDefault="00BA3E87">
            <w:pPr>
              <w:keepNext/>
              <w:keepLines/>
              <w:spacing w:after="0" w:line="240" w:lineRule="auto"/>
            </w:pPr>
          </w:p>
        </w:tc>
        <w:tc>
          <w:tcPr>
            <w:tcW w:w="3180" w:type="dxa"/>
            <w:tcMar>
              <w:top w:w="0" w:type="dxa"/>
              <w:bottom w:w="0" w:type="dxa"/>
            </w:tcMar>
            <w:vAlign w:val="center"/>
          </w:tcPr>
          <w:p w14:paraId="00E54EEA" w14:textId="77777777" w:rsidR="00BA3E87" w:rsidRDefault="000B2BF4">
            <w:pPr>
              <w:keepNext/>
              <w:keepLines/>
              <w:spacing w:after="0" w:line="240" w:lineRule="auto"/>
            </w:pPr>
            <w:r>
              <w:rPr>
                <w:b/>
                <w:sz w:val="18"/>
              </w:rPr>
              <w:t>VIŠAK PRIHODA POSLOVANJA (šifre 6-Z005)</w:t>
            </w:r>
          </w:p>
        </w:tc>
        <w:tc>
          <w:tcPr>
            <w:tcW w:w="700" w:type="dxa"/>
            <w:tcMar>
              <w:top w:w="0" w:type="dxa"/>
              <w:bottom w:w="0" w:type="dxa"/>
            </w:tcMar>
            <w:vAlign w:val="center"/>
          </w:tcPr>
          <w:p w14:paraId="781117C8" w14:textId="77777777" w:rsidR="00BA3E87" w:rsidRDefault="000B2BF4">
            <w:pPr>
              <w:keepNext/>
              <w:keepLines/>
              <w:spacing w:after="0" w:line="240" w:lineRule="auto"/>
            </w:pPr>
            <w:r>
              <w:rPr>
                <w:b/>
                <w:sz w:val="18"/>
              </w:rPr>
              <w:t>X001</w:t>
            </w:r>
          </w:p>
        </w:tc>
        <w:tc>
          <w:tcPr>
            <w:tcW w:w="1860" w:type="dxa"/>
            <w:tcMar>
              <w:top w:w="0" w:type="dxa"/>
              <w:bottom w:w="0" w:type="dxa"/>
            </w:tcMar>
            <w:vAlign w:val="center"/>
          </w:tcPr>
          <w:p w14:paraId="42CA5D60" w14:textId="77777777" w:rsidR="00BA3E87" w:rsidRDefault="000B2BF4">
            <w:pPr>
              <w:keepNext/>
              <w:keepLines/>
              <w:spacing w:after="0" w:line="240" w:lineRule="auto"/>
              <w:jc w:val="right"/>
            </w:pPr>
            <w:r>
              <w:rPr>
                <w:b/>
                <w:sz w:val="18"/>
              </w:rPr>
              <w:t>4.859.640,32</w:t>
            </w:r>
          </w:p>
        </w:tc>
        <w:tc>
          <w:tcPr>
            <w:tcW w:w="1860" w:type="dxa"/>
            <w:tcMar>
              <w:top w:w="0" w:type="dxa"/>
              <w:bottom w:w="0" w:type="dxa"/>
            </w:tcMar>
            <w:vAlign w:val="center"/>
          </w:tcPr>
          <w:p w14:paraId="686D0BB5" w14:textId="77777777" w:rsidR="00BA3E87" w:rsidRDefault="000B2BF4">
            <w:pPr>
              <w:keepNext/>
              <w:keepLines/>
              <w:spacing w:after="0" w:line="240" w:lineRule="auto"/>
              <w:jc w:val="right"/>
            </w:pPr>
            <w:r>
              <w:rPr>
                <w:b/>
                <w:sz w:val="18"/>
              </w:rPr>
              <w:t>1.439.427,57</w:t>
            </w:r>
          </w:p>
        </w:tc>
        <w:tc>
          <w:tcPr>
            <w:tcW w:w="700" w:type="dxa"/>
            <w:tcMar>
              <w:top w:w="0" w:type="dxa"/>
              <w:bottom w:w="0" w:type="dxa"/>
            </w:tcMar>
            <w:vAlign w:val="center"/>
          </w:tcPr>
          <w:p w14:paraId="3A6704CF" w14:textId="77777777" w:rsidR="00BA3E87" w:rsidRDefault="000B2BF4">
            <w:pPr>
              <w:keepNext/>
              <w:keepLines/>
              <w:spacing w:after="0" w:line="240" w:lineRule="auto"/>
              <w:jc w:val="right"/>
            </w:pPr>
            <w:r>
              <w:rPr>
                <w:b/>
                <w:sz w:val="18"/>
              </w:rPr>
              <w:t>29,6</w:t>
            </w:r>
          </w:p>
        </w:tc>
      </w:tr>
      <w:tr w:rsidR="00BA3E87" w14:paraId="628BAD10" w14:textId="77777777">
        <w:trPr>
          <w:cantSplit/>
          <w:trHeight w:val="560"/>
        </w:trPr>
        <w:tc>
          <w:tcPr>
            <w:tcW w:w="700" w:type="dxa"/>
            <w:tcMar>
              <w:top w:w="0" w:type="dxa"/>
              <w:bottom w:w="0" w:type="dxa"/>
            </w:tcMar>
            <w:vAlign w:val="center"/>
          </w:tcPr>
          <w:p w14:paraId="5E736065" w14:textId="77777777" w:rsidR="00BA3E87" w:rsidRDefault="000B2BF4">
            <w:pPr>
              <w:keepNext/>
              <w:keepLines/>
              <w:spacing w:after="0" w:line="240" w:lineRule="auto"/>
            </w:pPr>
            <w:r>
              <w:rPr>
                <w:sz w:val="18"/>
              </w:rPr>
              <w:t>7</w:t>
            </w:r>
          </w:p>
        </w:tc>
        <w:tc>
          <w:tcPr>
            <w:tcW w:w="3180" w:type="dxa"/>
            <w:tcMar>
              <w:top w:w="0" w:type="dxa"/>
              <w:bottom w:w="0" w:type="dxa"/>
            </w:tcMar>
            <w:vAlign w:val="center"/>
          </w:tcPr>
          <w:p w14:paraId="0B45E7A0" w14:textId="77777777" w:rsidR="00BA3E87" w:rsidRDefault="000B2BF4">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3D38BF1" w14:textId="77777777" w:rsidR="00BA3E87" w:rsidRDefault="000B2BF4">
            <w:pPr>
              <w:keepNext/>
              <w:keepLines/>
              <w:spacing w:after="0" w:line="240" w:lineRule="auto"/>
            </w:pPr>
            <w:r>
              <w:rPr>
                <w:sz w:val="18"/>
              </w:rPr>
              <w:t>7</w:t>
            </w:r>
          </w:p>
        </w:tc>
        <w:tc>
          <w:tcPr>
            <w:tcW w:w="1860" w:type="dxa"/>
            <w:tcMar>
              <w:top w:w="0" w:type="dxa"/>
              <w:bottom w:w="0" w:type="dxa"/>
            </w:tcMar>
            <w:vAlign w:val="center"/>
          </w:tcPr>
          <w:p w14:paraId="35AC5379" w14:textId="77777777" w:rsidR="00BA3E87" w:rsidRDefault="000B2BF4">
            <w:pPr>
              <w:keepNext/>
              <w:keepLines/>
              <w:spacing w:after="0" w:line="240" w:lineRule="auto"/>
              <w:jc w:val="right"/>
            </w:pPr>
            <w:r>
              <w:rPr>
                <w:sz w:val="18"/>
              </w:rPr>
              <w:t>9.030,76</w:t>
            </w:r>
          </w:p>
        </w:tc>
        <w:tc>
          <w:tcPr>
            <w:tcW w:w="1860" w:type="dxa"/>
            <w:tcMar>
              <w:top w:w="0" w:type="dxa"/>
              <w:bottom w:w="0" w:type="dxa"/>
            </w:tcMar>
            <w:vAlign w:val="center"/>
          </w:tcPr>
          <w:p w14:paraId="2F0B2844" w14:textId="77777777" w:rsidR="00BA3E87" w:rsidRDefault="000B2BF4">
            <w:pPr>
              <w:keepNext/>
              <w:keepLines/>
              <w:spacing w:after="0" w:line="240" w:lineRule="auto"/>
              <w:jc w:val="right"/>
            </w:pPr>
            <w:r>
              <w:rPr>
                <w:sz w:val="18"/>
              </w:rPr>
              <w:t>64.061,66</w:t>
            </w:r>
          </w:p>
        </w:tc>
        <w:tc>
          <w:tcPr>
            <w:tcW w:w="700" w:type="dxa"/>
            <w:tcMar>
              <w:top w:w="0" w:type="dxa"/>
              <w:bottom w:w="0" w:type="dxa"/>
            </w:tcMar>
            <w:vAlign w:val="center"/>
          </w:tcPr>
          <w:p w14:paraId="5A149457" w14:textId="77777777" w:rsidR="00BA3E87" w:rsidRDefault="000B2BF4">
            <w:pPr>
              <w:keepNext/>
              <w:keepLines/>
              <w:spacing w:after="0" w:line="240" w:lineRule="auto"/>
              <w:jc w:val="right"/>
            </w:pPr>
            <w:r>
              <w:rPr>
                <w:sz w:val="18"/>
              </w:rPr>
              <w:t>709,4</w:t>
            </w:r>
          </w:p>
        </w:tc>
      </w:tr>
      <w:tr w:rsidR="00BA3E87" w14:paraId="00A8C0FF" w14:textId="77777777">
        <w:trPr>
          <w:cantSplit/>
          <w:trHeight w:val="560"/>
        </w:trPr>
        <w:tc>
          <w:tcPr>
            <w:tcW w:w="700" w:type="dxa"/>
            <w:tcMar>
              <w:top w:w="0" w:type="dxa"/>
              <w:bottom w:w="0" w:type="dxa"/>
            </w:tcMar>
            <w:vAlign w:val="center"/>
          </w:tcPr>
          <w:p w14:paraId="237B2863" w14:textId="77777777" w:rsidR="00BA3E87" w:rsidRDefault="000B2BF4">
            <w:pPr>
              <w:keepNext/>
              <w:keepLines/>
              <w:spacing w:after="0" w:line="240" w:lineRule="auto"/>
            </w:pPr>
            <w:r>
              <w:rPr>
                <w:sz w:val="18"/>
              </w:rPr>
              <w:t>4</w:t>
            </w:r>
          </w:p>
        </w:tc>
        <w:tc>
          <w:tcPr>
            <w:tcW w:w="3180" w:type="dxa"/>
            <w:tcMar>
              <w:top w:w="0" w:type="dxa"/>
              <w:bottom w:w="0" w:type="dxa"/>
            </w:tcMar>
            <w:vAlign w:val="center"/>
          </w:tcPr>
          <w:p w14:paraId="46C9352E" w14:textId="77777777" w:rsidR="00BA3E87" w:rsidRDefault="000B2BF4">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00A1009" w14:textId="77777777" w:rsidR="00BA3E87" w:rsidRDefault="000B2BF4">
            <w:pPr>
              <w:keepNext/>
              <w:keepLines/>
              <w:spacing w:after="0" w:line="240" w:lineRule="auto"/>
            </w:pPr>
            <w:r>
              <w:rPr>
                <w:sz w:val="18"/>
              </w:rPr>
              <w:t>4</w:t>
            </w:r>
          </w:p>
        </w:tc>
        <w:tc>
          <w:tcPr>
            <w:tcW w:w="1860" w:type="dxa"/>
            <w:tcMar>
              <w:top w:w="0" w:type="dxa"/>
              <w:bottom w:w="0" w:type="dxa"/>
            </w:tcMar>
            <w:vAlign w:val="center"/>
          </w:tcPr>
          <w:p w14:paraId="0D15F972" w14:textId="77777777" w:rsidR="00BA3E87" w:rsidRDefault="000B2BF4">
            <w:pPr>
              <w:keepNext/>
              <w:keepLines/>
              <w:spacing w:after="0" w:line="240" w:lineRule="auto"/>
              <w:jc w:val="right"/>
            </w:pPr>
            <w:r>
              <w:rPr>
                <w:sz w:val="18"/>
              </w:rPr>
              <w:t>1.362.770,24</w:t>
            </w:r>
          </w:p>
        </w:tc>
        <w:tc>
          <w:tcPr>
            <w:tcW w:w="1860" w:type="dxa"/>
            <w:tcMar>
              <w:top w:w="0" w:type="dxa"/>
              <w:bottom w:w="0" w:type="dxa"/>
            </w:tcMar>
            <w:vAlign w:val="center"/>
          </w:tcPr>
          <w:p w14:paraId="1F0F4B87" w14:textId="77777777" w:rsidR="00BA3E87" w:rsidRDefault="000B2BF4">
            <w:pPr>
              <w:keepNext/>
              <w:keepLines/>
              <w:spacing w:after="0" w:line="240" w:lineRule="auto"/>
              <w:jc w:val="right"/>
            </w:pPr>
            <w:r>
              <w:rPr>
                <w:sz w:val="18"/>
              </w:rPr>
              <w:t>6.083.745,11</w:t>
            </w:r>
          </w:p>
        </w:tc>
        <w:tc>
          <w:tcPr>
            <w:tcW w:w="700" w:type="dxa"/>
            <w:tcMar>
              <w:top w:w="0" w:type="dxa"/>
              <w:bottom w:w="0" w:type="dxa"/>
            </w:tcMar>
            <w:vAlign w:val="center"/>
          </w:tcPr>
          <w:p w14:paraId="28D14DF7" w14:textId="77777777" w:rsidR="00BA3E87" w:rsidRDefault="000B2BF4">
            <w:pPr>
              <w:keepNext/>
              <w:keepLines/>
              <w:spacing w:after="0" w:line="240" w:lineRule="auto"/>
              <w:jc w:val="right"/>
            </w:pPr>
            <w:r>
              <w:rPr>
                <w:sz w:val="18"/>
              </w:rPr>
              <w:t>446,4</w:t>
            </w:r>
          </w:p>
        </w:tc>
      </w:tr>
      <w:tr w:rsidR="00BA3E87" w14:paraId="3181E2DB" w14:textId="77777777">
        <w:trPr>
          <w:cantSplit/>
          <w:trHeight w:val="560"/>
        </w:trPr>
        <w:tc>
          <w:tcPr>
            <w:tcW w:w="700" w:type="dxa"/>
            <w:tcMar>
              <w:top w:w="0" w:type="dxa"/>
              <w:bottom w:w="0" w:type="dxa"/>
            </w:tcMar>
            <w:vAlign w:val="center"/>
          </w:tcPr>
          <w:p w14:paraId="650095F4" w14:textId="77777777" w:rsidR="00BA3E87" w:rsidRDefault="00BA3E87">
            <w:pPr>
              <w:keepNext/>
              <w:keepLines/>
              <w:spacing w:after="0" w:line="240" w:lineRule="auto"/>
            </w:pPr>
          </w:p>
        </w:tc>
        <w:tc>
          <w:tcPr>
            <w:tcW w:w="3180" w:type="dxa"/>
            <w:tcMar>
              <w:top w:w="0" w:type="dxa"/>
              <w:bottom w:w="0" w:type="dxa"/>
            </w:tcMar>
            <w:vAlign w:val="center"/>
          </w:tcPr>
          <w:p w14:paraId="6285AEFF" w14:textId="77777777" w:rsidR="00BA3E87" w:rsidRDefault="000B2BF4">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D974D85" w14:textId="77777777" w:rsidR="00BA3E87" w:rsidRDefault="000B2BF4">
            <w:pPr>
              <w:keepNext/>
              <w:keepLines/>
              <w:spacing w:after="0" w:line="240" w:lineRule="auto"/>
            </w:pPr>
            <w:r>
              <w:rPr>
                <w:b/>
                <w:sz w:val="18"/>
              </w:rPr>
              <w:t>Y002</w:t>
            </w:r>
          </w:p>
        </w:tc>
        <w:tc>
          <w:tcPr>
            <w:tcW w:w="1860" w:type="dxa"/>
            <w:tcMar>
              <w:top w:w="0" w:type="dxa"/>
              <w:bottom w:w="0" w:type="dxa"/>
            </w:tcMar>
            <w:vAlign w:val="center"/>
          </w:tcPr>
          <w:p w14:paraId="7085BBD5" w14:textId="77777777" w:rsidR="00BA3E87" w:rsidRDefault="000B2BF4">
            <w:pPr>
              <w:keepNext/>
              <w:keepLines/>
              <w:spacing w:after="0" w:line="240" w:lineRule="auto"/>
              <w:jc w:val="right"/>
            </w:pPr>
            <w:r>
              <w:rPr>
                <w:b/>
                <w:sz w:val="18"/>
              </w:rPr>
              <w:t>1.353.739,48</w:t>
            </w:r>
          </w:p>
        </w:tc>
        <w:tc>
          <w:tcPr>
            <w:tcW w:w="1860" w:type="dxa"/>
            <w:tcMar>
              <w:top w:w="0" w:type="dxa"/>
              <w:bottom w:w="0" w:type="dxa"/>
            </w:tcMar>
            <w:vAlign w:val="center"/>
          </w:tcPr>
          <w:p w14:paraId="5583D662" w14:textId="77777777" w:rsidR="00BA3E87" w:rsidRDefault="000B2BF4">
            <w:pPr>
              <w:keepNext/>
              <w:keepLines/>
              <w:spacing w:after="0" w:line="240" w:lineRule="auto"/>
              <w:jc w:val="right"/>
            </w:pPr>
            <w:r>
              <w:rPr>
                <w:b/>
                <w:sz w:val="18"/>
              </w:rPr>
              <w:t>6.019.683,45</w:t>
            </w:r>
          </w:p>
        </w:tc>
        <w:tc>
          <w:tcPr>
            <w:tcW w:w="700" w:type="dxa"/>
            <w:tcMar>
              <w:top w:w="0" w:type="dxa"/>
              <w:bottom w:w="0" w:type="dxa"/>
            </w:tcMar>
            <w:vAlign w:val="center"/>
          </w:tcPr>
          <w:p w14:paraId="3DC45F1E" w14:textId="77777777" w:rsidR="00BA3E87" w:rsidRDefault="000B2BF4">
            <w:pPr>
              <w:keepNext/>
              <w:keepLines/>
              <w:spacing w:after="0" w:line="240" w:lineRule="auto"/>
              <w:jc w:val="right"/>
            </w:pPr>
            <w:r>
              <w:rPr>
                <w:b/>
                <w:sz w:val="18"/>
              </w:rPr>
              <w:t>444,7</w:t>
            </w:r>
          </w:p>
        </w:tc>
      </w:tr>
      <w:tr w:rsidR="00BA3E87" w14:paraId="57448663" w14:textId="77777777">
        <w:trPr>
          <w:cantSplit/>
          <w:trHeight w:val="560"/>
        </w:trPr>
        <w:tc>
          <w:tcPr>
            <w:tcW w:w="700" w:type="dxa"/>
            <w:tcMar>
              <w:top w:w="0" w:type="dxa"/>
              <w:bottom w:w="0" w:type="dxa"/>
            </w:tcMar>
            <w:vAlign w:val="center"/>
          </w:tcPr>
          <w:p w14:paraId="5EE8C70B" w14:textId="77777777" w:rsidR="00BA3E87" w:rsidRDefault="000B2BF4">
            <w:pPr>
              <w:keepNext/>
              <w:keepLines/>
              <w:spacing w:after="0" w:line="240" w:lineRule="auto"/>
            </w:pPr>
            <w:r>
              <w:rPr>
                <w:sz w:val="18"/>
              </w:rPr>
              <w:t>8</w:t>
            </w:r>
          </w:p>
        </w:tc>
        <w:tc>
          <w:tcPr>
            <w:tcW w:w="3180" w:type="dxa"/>
            <w:tcMar>
              <w:top w:w="0" w:type="dxa"/>
              <w:bottom w:w="0" w:type="dxa"/>
            </w:tcMar>
            <w:vAlign w:val="center"/>
          </w:tcPr>
          <w:p w14:paraId="2328E8E2" w14:textId="77777777" w:rsidR="00BA3E87" w:rsidRDefault="000B2BF4">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37AF18D" w14:textId="77777777" w:rsidR="00BA3E87" w:rsidRDefault="000B2BF4">
            <w:pPr>
              <w:keepNext/>
              <w:keepLines/>
              <w:spacing w:after="0" w:line="240" w:lineRule="auto"/>
            </w:pPr>
            <w:r>
              <w:rPr>
                <w:sz w:val="18"/>
              </w:rPr>
              <w:t>8</w:t>
            </w:r>
          </w:p>
        </w:tc>
        <w:tc>
          <w:tcPr>
            <w:tcW w:w="1860" w:type="dxa"/>
            <w:tcMar>
              <w:top w:w="0" w:type="dxa"/>
              <w:bottom w:w="0" w:type="dxa"/>
            </w:tcMar>
            <w:vAlign w:val="center"/>
          </w:tcPr>
          <w:p w14:paraId="4E91AB0D" w14:textId="77777777" w:rsidR="00BA3E87" w:rsidRDefault="000B2BF4">
            <w:pPr>
              <w:keepNext/>
              <w:keepLines/>
              <w:spacing w:after="0" w:line="240" w:lineRule="auto"/>
              <w:jc w:val="right"/>
            </w:pPr>
            <w:r>
              <w:rPr>
                <w:sz w:val="18"/>
              </w:rPr>
              <w:t>164.835,11</w:t>
            </w:r>
          </w:p>
        </w:tc>
        <w:tc>
          <w:tcPr>
            <w:tcW w:w="1860" w:type="dxa"/>
            <w:tcMar>
              <w:top w:w="0" w:type="dxa"/>
              <w:bottom w:w="0" w:type="dxa"/>
            </w:tcMar>
            <w:vAlign w:val="center"/>
          </w:tcPr>
          <w:p w14:paraId="455C033D" w14:textId="77777777" w:rsidR="00BA3E87" w:rsidRDefault="000B2BF4">
            <w:pPr>
              <w:keepNext/>
              <w:keepLines/>
              <w:spacing w:after="0" w:line="240" w:lineRule="auto"/>
              <w:jc w:val="right"/>
            </w:pPr>
            <w:r>
              <w:rPr>
                <w:sz w:val="18"/>
              </w:rPr>
              <w:t>490.446,11</w:t>
            </w:r>
          </w:p>
        </w:tc>
        <w:tc>
          <w:tcPr>
            <w:tcW w:w="700" w:type="dxa"/>
            <w:tcMar>
              <w:top w:w="0" w:type="dxa"/>
              <w:bottom w:w="0" w:type="dxa"/>
            </w:tcMar>
            <w:vAlign w:val="center"/>
          </w:tcPr>
          <w:p w14:paraId="75F51C1D" w14:textId="77777777" w:rsidR="00BA3E87" w:rsidRDefault="000B2BF4">
            <w:pPr>
              <w:keepNext/>
              <w:keepLines/>
              <w:spacing w:after="0" w:line="240" w:lineRule="auto"/>
              <w:jc w:val="right"/>
            </w:pPr>
            <w:r>
              <w:rPr>
                <w:sz w:val="18"/>
              </w:rPr>
              <w:t>297,5</w:t>
            </w:r>
          </w:p>
        </w:tc>
      </w:tr>
      <w:tr w:rsidR="00BA3E87" w14:paraId="39730060" w14:textId="77777777">
        <w:trPr>
          <w:cantSplit/>
          <w:trHeight w:val="560"/>
        </w:trPr>
        <w:tc>
          <w:tcPr>
            <w:tcW w:w="700" w:type="dxa"/>
            <w:tcMar>
              <w:top w:w="0" w:type="dxa"/>
              <w:bottom w:w="0" w:type="dxa"/>
            </w:tcMar>
            <w:vAlign w:val="center"/>
          </w:tcPr>
          <w:p w14:paraId="7AE4558F" w14:textId="77777777" w:rsidR="00BA3E87" w:rsidRDefault="000B2BF4">
            <w:pPr>
              <w:keepNext/>
              <w:keepLines/>
              <w:spacing w:after="0" w:line="240" w:lineRule="auto"/>
            </w:pPr>
            <w:r>
              <w:rPr>
                <w:sz w:val="18"/>
              </w:rPr>
              <w:t>5</w:t>
            </w:r>
          </w:p>
        </w:tc>
        <w:tc>
          <w:tcPr>
            <w:tcW w:w="3180" w:type="dxa"/>
            <w:tcMar>
              <w:top w:w="0" w:type="dxa"/>
              <w:bottom w:w="0" w:type="dxa"/>
            </w:tcMar>
            <w:vAlign w:val="center"/>
          </w:tcPr>
          <w:p w14:paraId="24B347BC" w14:textId="77777777" w:rsidR="00BA3E87" w:rsidRDefault="000B2BF4">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CD3C9A6" w14:textId="77777777" w:rsidR="00BA3E87" w:rsidRDefault="000B2BF4">
            <w:pPr>
              <w:keepNext/>
              <w:keepLines/>
              <w:spacing w:after="0" w:line="240" w:lineRule="auto"/>
            </w:pPr>
            <w:r>
              <w:rPr>
                <w:sz w:val="18"/>
              </w:rPr>
              <w:t>5</w:t>
            </w:r>
          </w:p>
        </w:tc>
        <w:tc>
          <w:tcPr>
            <w:tcW w:w="1860" w:type="dxa"/>
            <w:tcMar>
              <w:top w:w="0" w:type="dxa"/>
              <w:bottom w:w="0" w:type="dxa"/>
            </w:tcMar>
            <w:vAlign w:val="center"/>
          </w:tcPr>
          <w:p w14:paraId="33EB8A52" w14:textId="77777777" w:rsidR="00BA3E87" w:rsidRDefault="000B2BF4">
            <w:pPr>
              <w:keepNext/>
              <w:keepLines/>
              <w:spacing w:after="0" w:line="240" w:lineRule="auto"/>
              <w:jc w:val="right"/>
            </w:pPr>
            <w:r>
              <w:rPr>
                <w:sz w:val="18"/>
              </w:rPr>
              <w:t>213.539,18</w:t>
            </w:r>
          </w:p>
        </w:tc>
        <w:tc>
          <w:tcPr>
            <w:tcW w:w="1860" w:type="dxa"/>
            <w:tcMar>
              <w:top w:w="0" w:type="dxa"/>
              <w:bottom w:w="0" w:type="dxa"/>
            </w:tcMar>
            <w:vAlign w:val="center"/>
          </w:tcPr>
          <w:p w14:paraId="6E263B49" w14:textId="77777777" w:rsidR="00BA3E87" w:rsidRDefault="000B2BF4">
            <w:pPr>
              <w:keepNext/>
              <w:keepLines/>
              <w:spacing w:after="0" w:line="240" w:lineRule="auto"/>
              <w:jc w:val="right"/>
            </w:pPr>
            <w:r>
              <w:rPr>
                <w:sz w:val="18"/>
              </w:rPr>
              <w:t>928.591,63</w:t>
            </w:r>
          </w:p>
        </w:tc>
        <w:tc>
          <w:tcPr>
            <w:tcW w:w="700" w:type="dxa"/>
            <w:tcMar>
              <w:top w:w="0" w:type="dxa"/>
              <w:bottom w:w="0" w:type="dxa"/>
            </w:tcMar>
            <w:vAlign w:val="center"/>
          </w:tcPr>
          <w:p w14:paraId="4BBD5502" w14:textId="77777777" w:rsidR="00BA3E87" w:rsidRDefault="000B2BF4">
            <w:pPr>
              <w:keepNext/>
              <w:keepLines/>
              <w:spacing w:after="0" w:line="240" w:lineRule="auto"/>
              <w:jc w:val="right"/>
            </w:pPr>
            <w:r>
              <w:rPr>
                <w:sz w:val="18"/>
              </w:rPr>
              <w:t>434,9</w:t>
            </w:r>
          </w:p>
        </w:tc>
      </w:tr>
      <w:tr w:rsidR="00BA3E87" w14:paraId="6B54B2AE" w14:textId="77777777">
        <w:trPr>
          <w:cantSplit/>
          <w:trHeight w:val="560"/>
        </w:trPr>
        <w:tc>
          <w:tcPr>
            <w:tcW w:w="700" w:type="dxa"/>
            <w:tcMar>
              <w:top w:w="0" w:type="dxa"/>
              <w:bottom w:w="0" w:type="dxa"/>
            </w:tcMar>
            <w:vAlign w:val="center"/>
          </w:tcPr>
          <w:p w14:paraId="0BE223C4" w14:textId="77777777" w:rsidR="00BA3E87" w:rsidRDefault="00BA3E87">
            <w:pPr>
              <w:keepNext/>
              <w:keepLines/>
              <w:spacing w:after="0" w:line="240" w:lineRule="auto"/>
            </w:pPr>
          </w:p>
        </w:tc>
        <w:tc>
          <w:tcPr>
            <w:tcW w:w="3180" w:type="dxa"/>
            <w:tcMar>
              <w:top w:w="0" w:type="dxa"/>
              <w:bottom w:w="0" w:type="dxa"/>
            </w:tcMar>
            <w:vAlign w:val="center"/>
          </w:tcPr>
          <w:p w14:paraId="7D82D537" w14:textId="77777777" w:rsidR="00BA3E87" w:rsidRDefault="000B2BF4">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1F3A95F8" w14:textId="77777777" w:rsidR="00BA3E87" w:rsidRDefault="000B2BF4">
            <w:pPr>
              <w:keepNext/>
              <w:keepLines/>
              <w:spacing w:after="0" w:line="240" w:lineRule="auto"/>
            </w:pPr>
            <w:r>
              <w:rPr>
                <w:b/>
                <w:sz w:val="18"/>
              </w:rPr>
              <w:t>Y003</w:t>
            </w:r>
          </w:p>
        </w:tc>
        <w:tc>
          <w:tcPr>
            <w:tcW w:w="1860" w:type="dxa"/>
            <w:tcMar>
              <w:top w:w="0" w:type="dxa"/>
              <w:bottom w:w="0" w:type="dxa"/>
            </w:tcMar>
            <w:vAlign w:val="center"/>
          </w:tcPr>
          <w:p w14:paraId="25980FA8" w14:textId="77777777" w:rsidR="00BA3E87" w:rsidRDefault="000B2BF4">
            <w:pPr>
              <w:keepNext/>
              <w:keepLines/>
              <w:spacing w:after="0" w:line="240" w:lineRule="auto"/>
              <w:jc w:val="right"/>
            </w:pPr>
            <w:r>
              <w:rPr>
                <w:b/>
                <w:sz w:val="18"/>
              </w:rPr>
              <w:t>48.704,07</w:t>
            </w:r>
          </w:p>
        </w:tc>
        <w:tc>
          <w:tcPr>
            <w:tcW w:w="1860" w:type="dxa"/>
            <w:tcMar>
              <w:top w:w="0" w:type="dxa"/>
              <w:bottom w:w="0" w:type="dxa"/>
            </w:tcMar>
            <w:vAlign w:val="center"/>
          </w:tcPr>
          <w:p w14:paraId="559D5B39" w14:textId="77777777" w:rsidR="00BA3E87" w:rsidRDefault="000B2BF4">
            <w:pPr>
              <w:keepNext/>
              <w:keepLines/>
              <w:spacing w:after="0" w:line="240" w:lineRule="auto"/>
              <w:jc w:val="right"/>
            </w:pPr>
            <w:r>
              <w:rPr>
                <w:b/>
                <w:sz w:val="18"/>
              </w:rPr>
              <w:t>438.145,52</w:t>
            </w:r>
          </w:p>
        </w:tc>
        <w:tc>
          <w:tcPr>
            <w:tcW w:w="700" w:type="dxa"/>
            <w:tcMar>
              <w:top w:w="0" w:type="dxa"/>
              <w:bottom w:w="0" w:type="dxa"/>
            </w:tcMar>
            <w:vAlign w:val="center"/>
          </w:tcPr>
          <w:p w14:paraId="10C18695" w14:textId="77777777" w:rsidR="00BA3E87" w:rsidRDefault="000B2BF4">
            <w:pPr>
              <w:keepNext/>
              <w:keepLines/>
              <w:spacing w:after="0" w:line="240" w:lineRule="auto"/>
              <w:jc w:val="right"/>
            </w:pPr>
            <w:r>
              <w:rPr>
                <w:b/>
                <w:sz w:val="18"/>
              </w:rPr>
              <w:t>899,6</w:t>
            </w:r>
          </w:p>
        </w:tc>
      </w:tr>
      <w:tr w:rsidR="00BA3E87" w14:paraId="4570D307" w14:textId="77777777">
        <w:trPr>
          <w:cantSplit/>
          <w:trHeight w:val="560"/>
        </w:trPr>
        <w:tc>
          <w:tcPr>
            <w:tcW w:w="700" w:type="dxa"/>
            <w:tcMar>
              <w:top w:w="0" w:type="dxa"/>
              <w:bottom w:w="0" w:type="dxa"/>
            </w:tcMar>
            <w:vAlign w:val="center"/>
          </w:tcPr>
          <w:p w14:paraId="2B57B207" w14:textId="77777777" w:rsidR="00BA3E87" w:rsidRDefault="00BA3E87">
            <w:pPr>
              <w:keepNext/>
              <w:keepLines/>
              <w:spacing w:after="0" w:line="240" w:lineRule="auto"/>
            </w:pPr>
          </w:p>
        </w:tc>
        <w:tc>
          <w:tcPr>
            <w:tcW w:w="3180" w:type="dxa"/>
            <w:tcMar>
              <w:top w:w="0" w:type="dxa"/>
              <w:bottom w:w="0" w:type="dxa"/>
            </w:tcMar>
            <w:vAlign w:val="center"/>
          </w:tcPr>
          <w:p w14:paraId="5E5570E9" w14:textId="77777777" w:rsidR="00BA3E87" w:rsidRDefault="000B2BF4">
            <w:pPr>
              <w:keepNext/>
              <w:keepLines/>
              <w:spacing w:after="0" w:line="240" w:lineRule="auto"/>
            </w:pPr>
            <w:r>
              <w:rPr>
                <w:b/>
                <w:sz w:val="18"/>
              </w:rPr>
              <w:t>MANJAK PRIHODA I PRIMITAKA (šifre Y345-X678)</w:t>
            </w:r>
          </w:p>
        </w:tc>
        <w:tc>
          <w:tcPr>
            <w:tcW w:w="700" w:type="dxa"/>
            <w:tcMar>
              <w:top w:w="0" w:type="dxa"/>
              <w:bottom w:w="0" w:type="dxa"/>
            </w:tcMar>
            <w:vAlign w:val="center"/>
          </w:tcPr>
          <w:p w14:paraId="0ED98798" w14:textId="77777777" w:rsidR="00BA3E87" w:rsidRDefault="000B2BF4">
            <w:pPr>
              <w:keepNext/>
              <w:keepLines/>
              <w:spacing w:after="0" w:line="240" w:lineRule="auto"/>
            </w:pPr>
            <w:r>
              <w:rPr>
                <w:b/>
                <w:sz w:val="18"/>
              </w:rPr>
              <w:t>Y005</w:t>
            </w:r>
          </w:p>
        </w:tc>
        <w:tc>
          <w:tcPr>
            <w:tcW w:w="1860" w:type="dxa"/>
            <w:tcMar>
              <w:top w:w="0" w:type="dxa"/>
              <w:bottom w:w="0" w:type="dxa"/>
            </w:tcMar>
            <w:vAlign w:val="center"/>
          </w:tcPr>
          <w:p w14:paraId="4A3389BE" w14:textId="77777777" w:rsidR="00BA3E87" w:rsidRDefault="000B2BF4">
            <w:pPr>
              <w:keepNext/>
              <w:keepLines/>
              <w:spacing w:after="0" w:line="240" w:lineRule="auto"/>
              <w:jc w:val="right"/>
            </w:pPr>
            <w:r>
              <w:rPr>
                <w:b/>
                <w:sz w:val="18"/>
              </w:rPr>
              <w:t>0,00</w:t>
            </w:r>
          </w:p>
        </w:tc>
        <w:tc>
          <w:tcPr>
            <w:tcW w:w="1860" w:type="dxa"/>
            <w:tcMar>
              <w:top w:w="0" w:type="dxa"/>
              <w:bottom w:w="0" w:type="dxa"/>
            </w:tcMar>
            <w:vAlign w:val="center"/>
          </w:tcPr>
          <w:p w14:paraId="3638085A" w14:textId="77777777" w:rsidR="00BA3E87" w:rsidRDefault="000B2BF4">
            <w:pPr>
              <w:keepNext/>
              <w:keepLines/>
              <w:spacing w:after="0" w:line="240" w:lineRule="auto"/>
              <w:jc w:val="right"/>
            </w:pPr>
            <w:r>
              <w:rPr>
                <w:b/>
                <w:sz w:val="18"/>
              </w:rPr>
              <w:t>5.018.401,40</w:t>
            </w:r>
          </w:p>
        </w:tc>
        <w:tc>
          <w:tcPr>
            <w:tcW w:w="700" w:type="dxa"/>
            <w:tcMar>
              <w:top w:w="0" w:type="dxa"/>
              <w:bottom w:w="0" w:type="dxa"/>
            </w:tcMar>
            <w:vAlign w:val="center"/>
          </w:tcPr>
          <w:p w14:paraId="1EA545BB" w14:textId="77777777" w:rsidR="00BA3E87" w:rsidRDefault="000B2BF4">
            <w:pPr>
              <w:keepNext/>
              <w:keepLines/>
              <w:spacing w:after="0" w:line="240" w:lineRule="auto"/>
              <w:jc w:val="right"/>
            </w:pPr>
            <w:r>
              <w:rPr>
                <w:b/>
                <w:sz w:val="18"/>
              </w:rPr>
              <w:t>-</w:t>
            </w:r>
          </w:p>
        </w:tc>
      </w:tr>
    </w:tbl>
    <w:p w14:paraId="145C80F2" w14:textId="77777777" w:rsidR="00BA3E87" w:rsidRDefault="00BA3E87">
      <w:pPr>
        <w:spacing w:after="0"/>
      </w:pPr>
    </w:p>
    <w:p w14:paraId="3BCB8FBE" w14:textId="77777777" w:rsidR="00BA3E87" w:rsidRDefault="000B2BF4">
      <w:pPr>
        <w:jc w:val="both"/>
      </w:pPr>
      <w:r>
        <w:t>Ukupni prihodi poslovanja u tekućem izvještajnom razdoblju veći su za 8.819.478,14 eura u odnosu na izvještajno razdoblje prethodne godine, dok su rashodi poslovanja porasli za 12.239.690,89 eura.</w:t>
      </w:r>
      <w:r>
        <w:br/>
        <w:t xml:space="preserve">Najveći porast prihoda bilježi skupina pomoći iz inozemstva i od subjekata unutar općeg proračuna (6.310.305,98 eura), unutar koje je najznačajniji porast pomoći temeljem prijenosa EU sredstava u ukupnom iznosu od 4.904.193,17 eura. Najveći iznos navedenih pomoći </w:t>
      </w:r>
      <w:r>
        <w:lastRenderedPageBreak/>
        <w:t>ostvaren je po EU projektima Rekonstrukcija i dogradnja OŠ Ivanec (2.886.324,08 eura), Rekonstrukcija i dogradnja školske zgrade i sportske dvorane PŠ Strmec Podravski (1.228.443,41 eura), I ti možeš (657.302,68 eura) i Energetska obnova upravne zgrade u Ivancu (394.189,78 eura).</w:t>
      </w:r>
      <w:r>
        <w:br/>
        <w:t>Iznosom najveći porast rashoda (5.597.054,69 eura) bilježi podskupina 369. Unutar ove kategorije rashoda evidentirana su sredstva isplaćena RKP korisnicima Varaždinske županije za provođenje EU projekata.</w:t>
      </w:r>
      <w:r>
        <w:br/>
        <w:t>Značajno je i povećanje podskupine rashoda 367 (2.713.704,13 eura). Unutar iste su iskazani prijenosi za financiranje redovne djelatnosti proračunskih korisnika Varaždinske županije, a koji se iskazuju po novčanom načelu sukladno Pravilniku o proračunskom računovodstvu i Računskom planu („Narodne novine“ br. 158/23, 154/24). </w:t>
      </w:r>
      <w:r>
        <w:br/>
        <w:t>Osim navedenog, na povećanje rashoda poslovanja utjecalo i provođenje lokalnih izbora na koje je utrošeno 662.936,52 eura.</w:t>
      </w:r>
      <w:r>
        <w:br/>
        <w:t>Manjak prihoda od nefinancijske imovine velikim dijelom rezultat je provođenja EU projekata Arboretum Opeka-održiva zelena destinacija i Energetska obnova upravne zgrade u Ivancu te ulaganja u energetsku obnovu upravne zgrade u Novom Marofu.</w:t>
      </w:r>
      <w:r>
        <w:br/>
        <w:t>Na stvaranje manjka primitaka od financijske imovine i zaduživanja najvećim dijelom utjecalo je evidentiranje  povećanja temeljnog kapitala društva Bukotermal (660.000,00 eur).</w:t>
      </w:r>
    </w:p>
    <w:p w14:paraId="0B563EF9" w14:textId="77777777" w:rsidR="00BA3E87" w:rsidRDefault="000B2BF4">
      <w:r>
        <w:br/>
      </w:r>
    </w:p>
    <w:p w14:paraId="06BA8CDC" w14:textId="77777777" w:rsidR="00BA3E87" w:rsidRDefault="000B2BF4">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25B19704" w14:textId="77777777">
        <w:trPr>
          <w:cantSplit/>
        </w:trPr>
        <w:tc>
          <w:tcPr>
            <w:tcW w:w="700" w:type="dxa"/>
            <w:shd w:val="clear" w:color="auto" w:fill="E7F0F9"/>
            <w:tcMar>
              <w:top w:w="0" w:type="dxa"/>
              <w:bottom w:w="0" w:type="dxa"/>
            </w:tcMar>
            <w:vAlign w:val="center"/>
          </w:tcPr>
          <w:p w14:paraId="3DBA8274"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2B6E43"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31DD2E"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FEE336"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5F5C9F"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70F69C" w14:textId="77777777" w:rsidR="00BA3E87" w:rsidRDefault="000B2BF4">
            <w:pPr>
              <w:keepNext/>
              <w:keepLines/>
              <w:spacing w:after="0" w:line="240" w:lineRule="auto"/>
              <w:jc w:val="center"/>
            </w:pPr>
            <w:r>
              <w:rPr>
                <w:b/>
                <w:sz w:val="18"/>
              </w:rPr>
              <w:t>Indeks (%)</w:t>
            </w:r>
          </w:p>
        </w:tc>
      </w:tr>
      <w:tr w:rsidR="00BA3E87" w14:paraId="1EDE5A82" w14:textId="77777777">
        <w:trPr>
          <w:cantSplit/>
          <w:trHeight w:val="560"/>
        </w:trPr>
        <w:tc>
          <w:tcPr>
            <w:tcW w:w="700" w:type="dxa"/>
            <w:tcMar>
              <w:top w:w="0" w:type="dxa"/>
              <w:bottom w:w="0" w:type="dxa"/>
            </w:tcMar>
            <w:vAlign w:val="center"/>
          </w:tcPr>
          <w:p w14:paraId="28FB2DDA" w14:textId="77777777" w:rsidR="00BA3E87" w:rsidRDefault="000B2BF4">
            <w:pPr>
              <w:keepNext/>
              <w:keepLines/>
              <w:spacing w:after="0" w:line="240" w:lineRule="auto"/>
            </w:pPr>
            <w:r>
              <w:rPr>
                <w:sz w:val="18"/>
              </w:rPr>
              <w:t>6131</w:t>
            </w:r>
          </w:p>
        </w:tc>
        <w:tc>
          <w:tcPr>
            <w:tcW w:w="3180" w:type="dxa"/>
            <w:tcMar>
              <w:top w:w="0" w:type="dxa"/>
              <w:bottom w:w="0" w:type="dxa"/>
            </w:tcMar>
            <w:vAlign w:val="center"/>
          </w:tcPr>
          <w:p w14:paraId="471ABCEA" w14:textId="77777777" w:rsidR="00BA3E87" w:rsidRDefault="000B2BF4">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67CE4A1A" w14:textId="77777777" w:rsidR="00BA3E87" w:rsidRDefault="000B2BF4">
            <w:pPr>
              <w:keepNext/>
              <w:keepLines/>
              <w:spacing w:after="0" w:line="240" w:lineRule="auto"/>
            </w:pPr>
            <w:r>
              <w:rPr>
                <w:sz w:val="18"/>
              </w:rPr>
              <w:t>6131</w:t>
            </w:r>
          </w:p>
        </w:tc>
        <w:tc>
          <w:tcPr>
            <w:tcW w:w="1860" w:type="dxa"/>
            <w:tcMar>
              <w:top w:w="0" w:type="dxa"/>
              <w:bottom w:w="0" w:type="dxa"/>
            </w:tcMar>
            <w:vAlign w:val="center"/>
          </w:tcPr>
          <w:p w14:paraId="6FFDB344" w14:textId="77777777" w:rsidR="00BA3E87" w:rsidRDefault="000B2BF4">
            <w:pPr>
              <w:keepNext/>
              <w:keepLines/>
              <w:spacing w:after="0" w:line="240" w:lineRule="auto"/>
              <w:jc w:val="right"/>
            </w:pPr>
            <w:r>
              <w:rPr>
                <w:sz w:val="18"/>
              </w:rPr>
              <w:t>0,00</w:t>
            </w:r>
          </w:p>
        </w:tc>
        <w:tc>
          <w:tcPr>
            <w:tcW w:w="1860" w:type="dxa"/>
            <w:tcMar>
              <w:top w:w="0" w:type="dxa"/>
              <w:bottom w:w="0" w:type="dxa"/>
            </w:tcMar>
            <w:vAlign w:val="center"/>
          </w:tcPr>
          <w:p w14:paraId="72D32027" w14:textId="77777777" w:rsidR="00BA3E87" w:rsidRDefault="000B2BF4">
            <w:pPr>
              <w:keepNext/>
              <w:keepLines/>
              <w:spacing w:after="0" w:line="240" w:lineRule="auto"/>
              <w:jc w:val="right"/>
            </w:pPr>
            <w:r>
              <w:rPr>
                <w:sz w:val="18"/>
              </w:rPr>
              <w:t>42.166,91</w:t>
            </w:r>
          </w:p>
        </w:tc>
        <w:tc>
          <w:tcPr>
            <w:tcW w:w="700" w:type="dxa"/>
            <w:tcMar>
              <w:top w:w="0" w:type="dxa"/>
              <w:bottom w:w="0" w:type="dxa"/>
            </w:tcMar>
            <w:vAlign w:val="center"/>
          </w:tcPr>
          <w:p w14:paraId="28855A1A" w14:textId="77777777" w:rsidR="00BA3E87" w:rsidRDefault="000B2BF4">
            <w:pPr>
              <w:keepNext/>
              <w:keepLines/>
              <w:spacing w:after="0" w:line="240" w:lineRule="auto"/>
              <w:jc w:val="right"/>
            </w:pPr>
            <w:r>
              <w:rPr>
                <w:sz w:val="18"/>
              </w:rPr>
              <w:t>-</w:t>
            </w:r>
          </w:p>
        </w:tc>
      </w:tr>
    </w:tbl>
    <w:p w14:paraId="5342F681" w14:textId="77777777" w:rsidR="00BA3E87" w:rsidRDefault="00BA3E87">
      <w:pPr>
        <w:spacing w:after="0"/>
      </w:pPr>
    </w:p>
    <w:p w14:paraId="4AF7A56E" w14:textId="77777777" w:rsidR="00BA3E87" w:rsidRDefault="000B2BF4">
      <w:pPr>
        <w:jc w:val="both"/>
      </w:pPr>
      <w:r>
        <w:t>Iznos evidentiran na šifri 6131 Stalni porezi na nepokretnu imovinu odnosi se na prihode od poreza na nekretnine koji je uveden 1. siječnja 2025. godine.</w:t>
      </w:r>
    </w:p>
    <w:p w14:paraId="19923C63" w14:textId="77777777" w:rsidR="00BA3E87" w:rsidRDefault="00BA3E87"/>
    <w:p w14:paraId="1A236A20" w14:textId="77777777" w:rsidR="00BA3E87" w:rsidRDefault="000B2BF4">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249A7D74" w14:textId="77777777">
        <w:trPr>
          <w:cantSplit/>
        </w:trPr>
        <w:tc>
          <w:tcPr>
            <w:tcW w:w="700" w:type="dxa"/>
            <w:shd w:val="clear" w:color="auto" w:fill="E7F0F9"/>
            <w:tcMar>
              <w:top w:w="0" w:type="dxa"/>
              <w:bottom w:w="0" w:type="dxa"/>
            </w:tcMar>
            <w:vAlign w:val="center"/>
          </w:tcPr>
          <w:p w14:paraId="5BAAFE07"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E0396B"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07A6C5"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95B8CB"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DF2CCB"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C65AEA" w14:textId="77777777" w:rsidR="00BA3E87" w:rsidRDefault="000B2BF4">
            <w:pPr>
              <w:keepNext/>
              <w:keepLines/>
              <w:spacing w:after="0" w:line="240" w:lineRule="auto"/>
              <w:jc w:val="center"/>
            </w:pPr>
            <w:r>
              <w:rPr>
                <w:b/>
                <w:sz w:val="18"/>
              </w:rPr>
              <w:t>Indeks (%)</w:t>
            </w:r>
          </w:p>
        </w:tc>
      </w:tr>
      <w:tr w:rsidR="00BA3E87" w14:paraId="672A4BA1" w14:textId="77777777">
        <w:trPr>
          <w:cantSplit/>
          <w:trHeight w:val="560"/>
        </w:trPr>
        <w:tc>
          <w:tcPr>
            <w:tcW w:w="700" w:type="dxa"/>
            <w:tcMar>
              <w:top w:w="0" w:type="dxa"/>
              <w:bottom w:w="0" w:type="dxa"/>
            </w:tcMar>
            <w:vAlign w:val="center"/>
          </w:tcPr>
          <w:p w14:paraId="55CB98B1" w14:textId="77777777" w:rsidR="00BA3E87" w:rsidRDefault="000B2BF4">
            <w:pPr>
              <w:keepNext/>
              <w:keepLines/>
              <w:spacing w:after="0" w:line="240" w:lineRule="auto"/>
            </w:pPr>
            <w:r>
              <w:rPr>
                <w:sz w:val="18"/>
              </w:rPr>
              <w:t>631</w:t>
            </w:r>
          </w:p>
        </w:tc>
        <w:tc>
          <w:tcPr>
            <w:tcW w:w="3180" w:type="dxa"/>
            <w:tcMar>
              <w:top w:w="0" w:type="dxa"/>
              <w:bottom w:w="0" w:type="dxa"/>
            </w:tcMar>
            <w:vAlign w:val="center"/>
          </w:tcPr>
          <w:p w14:paraId="7EAD9810" w14:textId="77777777" w:rsidR="00BA3E87" w:rsidRDefault="000B2BF4">
            <w:pPr>
              <w:keepNext/>
              <w:keepLines/>
              <w:spacing w:after="0" w:line="240" w:lineRule="auto"/>
            </w:pPr>
            <w:r>
              <w:rPr>
                <w:sz w:val="18"/>
              </w:rPr>
              <w:t>Pomoći od inozemnih vlada (šifre 6311+6312)</w:t>
            </w:r>
          </w:p>
        </w:tc>
        <w:tc>
          <w:tcPr>
            <w:tcW w:w="700" w:type="dxa"/>
            <w:tcMar>
              <w:top w:w="0" w:type="dxa"/>
              <w:bottom w:w="0" w:type="dxa"/>
            </w:tcMar>
            <w:vAlign w:val="center"/>
          </w:tcPr>
          <w:p w14:paraId="64AF8EE1" w14:textId="77777777" w:rsidR="00BA3E87" w:rsidRDefault="000B2BF4">
            <w:pPr>
              <w:keepNext/>
              <w:keepLines/>
              <w:spacing w:after="0" w:line="240" w:lineRule="auto"/>
            </w:pPr>
            <w:r>
              <w:rPr>
                <w:sz w:val="18"/>
              </w:rPr>
              <w:t>631</w:t>
            </w:r>
          </w:p>
        </w:tc>
        <w:tc>
          <w:tcPr>
            <w:tcW w:w="1860" w:type="dxa"/>
            <w:tcMar>
              <w:top w:w="0" w:type="dxa"/>
              <w:bottom w:w="0" w:type="dxa"/>
            </w:tcMar>
            <w:vAlign w:val="center"/>
          </w:tcPr>
          <w:p w14:paraId="3E092B53" w14:textId="77777777" w:rsidR="00BA3E87" w:rsidRDefault="000B2BF4">
            <w:pPr>
              <w:keepNext/>
              <w:keepLines/>
              <w:spacing w:after="0" w:line="240" w:lineRule="auto"/>
              <w:jc w:val="right"/>
            </w:pPr>
            <w:r>
              <w:rPr>
                <w:sz w:val="18"/>
              </w:rPr>
              <w:t>115.591,93</w:t>
            </w:r>
          </w:p>
        </w:tc>
        <w:tc>
          <w:tcPr>
            <w:tcW w:w="1860" w:type="dxa"/>
            <w:tcMar>
              <w:top w:w="0" w:type="dxa"/>
              <w:bottom w:w="0" w:type="dxa"/>
            </w:tcMar>
            <w:vAlign w:val="center"/>
          </w:tcPr>
          <w:p w14:paraId="00CFE3FA" w14:textId="77777777" w:rsidR="00BA3E87" w:rsidRDefault="000B2BF4">
            <w:pPr>
              <w:keepNext/>
              <w:keepLines/>
              <w:spacing w:after="0" w:line="240" w:lineRule="auto"/>
              <w:jc w:val="right"/>
            </w:pPr>
            <w:r>
              <w:rPr>
                <w:sz w:val="18"/>
              </w:rPr>
              <w:t>34.564,10</w:t>
            </w:r>
          </w:p>
        </w:tc>
        <w:tc>
          <w:tcPr>
            <w:tcW w:w="700" w:type="dxa"/>
            <w:tcMar>
              <w:top w:w="0" w:type="dxa"/>
              <w:bottom w:w="0" w:type="dxa"/>
            </w:tcMar>
            <w:vAlign w:val="center"/>
          </w:tcPr>
          <w:p w14:paraId="4269929C" w14:textId="77777777" w:rsidR="00BA3E87" w:rsidRDefault="000B2BF4">
            <w:pPr>
              <w:keepNext/>
              <w:keepLines/>
              <w:spacing w:after="0" w:line="240" w:lineRule="auto"/>
              <w:jc w:val="right"/>
            </w:pPr>
            <w:r>
              <w:rPr>
                <w:sz w:val="18"/>
              </w:rPr>
              <w:t>29,9</w:t>
            </w:r>
          </w:p>
        </w:tc>
      </w:tr>
    </w:tbl>
    <w:p w14:paraId="5CA44670" w14:textId="77777777" w:rsidR="00BA3E87" w:rsidRDefault="00BA3E87">
      <w:pPr>
        <w:spacing w:after="0"/>
      </w:pPr>
    </w:p>
    <w:p w14:paraId="252F268F" w14:textId="77777777" w:rsidR="00BA3E87" w:rsidRDefault="000B2BF4">
      <w:pPr>
        <w:jc w:val="both"/>
      </w:pPr>
      <w:r>
        <w:t>Tekuće pomoći od inozemnih vlada u izvještajnom razdoblju prethodne godine ostvarene su uplatom po EU projektima Sustav ranog upozoravanja (96.777,27 eura), Rail4Regions (18.135,96 eura) te Stride for Stride (678,70 eura). U izvještajnom razdoblju tekuće godine prihod se u cijelosti odnosi na uplate po EU projektu  Rail4Regions.</w:t>
      </w:r>
    </w:p>
    <w:p w14:paraId="1CE6F6B2" w14:textId="77777777" w:rsidR="00BA3E87" w:rsidRDefault="000B2BF4">
      <w:r>
        <w:t> </w:t>
      </w:r>
    </w:p>
    <w:p w14:paraId="6392CDB9" w14:textId="77777777" w:rsidR="00BA3E87" w:rsidRDefault="00BA3E87"/>
    <w:p w14:paraId="11EB21DA" w14:textId="77777777" w:rsidR="00BA3E87" w:rsidRDefault="000B2BF4">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5E326B72" w14:textId="77777777">
        <w:trPr>
          <w:cantSplit/>
        </w:trPr>
        <w:tc>
          <w:tcPr>
            <w:tcW w:w="700" w:type="dxa"/>
            <w:shd w:val="clear" w:color="auto" w:fill="E7F0F9"/>
            <w:tcMar>
              <w:top w:w="0" w:type="dxa"/>
              <w:bottom w:w="0" w:type="dxa"/>
            </w:tcMar>
            <w:vAlign w:val="center"/>
          </w:tcPr>
          <w:p w14:paraId="047E7467"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443C7C"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D102D8"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66C8E1"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3510E5"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D5DAAA" w14:textId="77777777" w:rsidR="00BA3E87" w:rsidRDefault="000B2BF4">
            <w:pPr>
              <w:keepNext/>
              <w:keepLines/>
              <w:spacing w:after="0" w:line="240" w:lineRule="auto"/>
              <w:jc w:val="center"/>
            </w:pPr>
            <w:r>
              <w:rPr>
                <w:b/>
                <w:sz w:val="18"/>
              </w:rPr>
              <w:t>Indeks (%)</w:t>
            </w:r>
          </w:p>
        </w:tc>
      </w:tr>
      <w:tr w:rsidR="00BA3E87" w14:paraId="160355E4" w14:textId="77777777">
        <w:trPr>
          <w:cantSplit/>
          <w:trHeight w:val="560"/>
        </w:trPr>
        <w:tc>
          <w:tcPr>
            <w:tcW w:w="700" w:type="dxa"/>
            <w:tcMar>
              <w:top w:w="0" w:type="dxa"/>
              <w:bottom w:w="0" w:type="dxa"/>
            </w:tcMar>
            <w:vAlign w:val="center"/>
          </w:tcPr>
          <w:p w14:paraId="4F50DD63" w14:textId="77777777" w:rsidR="00BA3E87" w:rsidRDefault="000B2BF4">
            <w:pPr>
              <w:keepNext/>
              <w:keepLines/>
              <w:spacing w:after="0" w:line="240" w:lineRule="auto"/>
            </w:pPr>
            <w:r>
              <w:rPr>
                <w:sz w:val="18"/>
              </w:rPr>
              <w:t>632</w:t>
            </w:r>
          </w:p>
        </w:tc>
        <w:tc>
          <w:tcPr>
            <w:tcW w:w="3180" w:type="dxa"/>
            <w:tcMar>
              <w:top w:w="0" w:type="dxa"/>
              <w:bottom w:w="0" w:type="dxa"/>
            </w:tcMar>
            <w:vAlign w:val="center"/>
          </w:tcPr>
          <w:p w14:paraId="6C4A0B29" w14:textId="77777777" w:rsidR="00BA3E87" w:rsidRDefault="000B2BF4">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14:paraId="6F9B08D2" w14:textId="77777777" w:rsidR="00BA3E87" w:rsidRDefault="000B2BF4">
            <w:pPr>
              <w:keepNext/>
              <w:keepLines/>
              <w:spacing w:after="0" w:line="240" w:lineRule="auto"/>
            </w:pPr>
            <w:r>
              <w:rPr>
                <w:sz w:val="18"/>
              </w:rPr>
              <w:t>632</w:t>
            </w:r>
          </w:p>
        </w:tc>
        <w:tc>
          <w:tcPr>
            <w:tcW w:w="1860" w:type="dxa"/>
            <w:tcMar>
              <w:top w:w="0" w:type="dxa"/>
              <w:bottom w:w="0" w:type="dxa"/>
            </w:tcMar>
            <w:vAlign w:val="center"/>
          </w:tcPr>
          <w:p w14:paraId="29AE53E8" w14:textId="77777777" w:rsidR="00BA3E87" w:rsidRDefault="000B2BF4">
            <w:pPr>
              <w:keepNext/>
              <w:keepLines/>
              <w:spacing w:after="0" w:line="240" w:lineRule="auto"/>
              <w:jc w:val="right"/>
            </w:pPr>
            <w:r>
              <w:rPr>
                <w:sz w:val="18"/>
              </w:rPr>
              <w:t>1.051.230,61</w:t>
            </w:r>
          </w:p>
        </w:tc>
        <w:tc>
          <w:tcPr>
            <w:tcW w:w="1860" w:type="dxa"/>
            <w:tcMar>
              <w:top w:w="0" w:type="dxa"/>
              <w:bottom w:w="0" w:type="dxa"/>
            </w:tcMar>
            <w:vAlign w:val="center"/>
          </w:tcPr>
          <w:p w14:paraId="1FD5A940" w14:textId="77777777" w:rsidR="00BA3E87" w:rsidRDefault="000B2BF4">
            <w:pPr>
              <w:keepNext/>
              <w:keepLines/>
              <w:spacing w:after="0" w:line="240" w:lineRule="auto"/>
              <w:jc w:val="right"/>
            </w:pPr>
            <w:r>
              <w:rPr>
                <w:sz w:val="18"/>
              </w:rPr>
              <w:t>25.257,50</w:t>
            </w:r>
          </w:p>
        </w:tc>
        <w:tc>
          <w:tcPr>
            <w:tcW w:w="700" w:type="dxa"/>
            <w:tcMar>
              <w:top w:w="0" w:type="dxa"/>
              <w:bottom w:w="0" w:type="dxa"/>
            </w:tcMar>
            <w:vAlign w:val="center"/>
          </w:tcPr>
          <w:p w14:paraId="62CAB80A" w14:textId="77777777" w:rsidR="00BA3E87" w:rsidRDefault="000B2BF4">
            <w:pPr>
              <w:keepNext/>
              <w:keepLines/>
              <w:spacing w:after="0" w:line="240" w:lineRule="auto"/>
              <w:jc w:val="right"/>
            </w:pPr>
            <w:r>
              <w:rPr>
                <w:sz w:val="18"/>
              </w:rPr>
              <w:t>2,4</w:t>
            </w:r>
          </w:p>
        </w:tc>
      </w:tr>
    </w:tbl>
    <w:p w14:paraId="1902C1C7" w14:textId="77777777" w:rsidR="00BA3E87" w:rsidRDefault="00BA3E87">
      <w:pPr>
        <w:spacing w:after="0"/>
      </w:pPr>
    </w:p>
    <w:p w14:paraId="19D0C0BE" w14:textId="77777777" w:rsidR="00BA3E87" w:rsidRDefault="000B2BF4">
      <w:pPr>
        <w:jc w:val="both"/>
      </w:pPr>
      <w:r>
        <w:t>Pomoći od međunarodnih organizacija te institucija i tijela EU odnose se na ugovorene prihode po projektima i ovise o njihovoj dinamici. U izvještajnom razdoblju tekuće godine navedeni prihod odnosi se na projekt GRECALE, a u izvještajnom razdoblju prethodne godine evidentirane su uplate po projektima AT@AT.CB (1.011.413,93 eura), Solarne elektrane (14.670,29 eura), PARTICIPRO (6.000,00 eura), DIMCARE (5.699,42 eura), REGALE (5.446,97 eura) te uplata Saveza Alpe-Adria za izložbu bučinog ulja (8.000,00 eura).</w:t>
      </w:r>
    </w:p>
    <w:p w14:paraId="787EFD81" w14:textId="77777777" w:rsidR="00BA3E87" w:rsidRDefault="00BA3E87"/>
    <w:p w14:paraId="3AD03ED1" w14:textId="77777777" w:rsidR="00BA3E87" w:rsidRDefault="000B2BF4">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1B5E0530" w14:textId="77777777">
        <w:trPr>
          <w:cantSplit/>
        </w:trPr>
        <w:tc>
          <w:tcPr>
            <w:tcW w:w="700" w:type="dxa"/>
            <w:shd w:val="clear" w:color="auto" w:fill="E7F0F9"/>
            <w:tcMar>
              <w:top w:w="0" w:type="dxa"/>
              <w:bottom w:w="0" w:type="dxa"/>
            </w:tcMar>
            <w:vAlign w:val="center"/>
          </w:tcPr>
          <w:p w14:paraId="6206A2A1"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99D800"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0045DA"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848B79"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E75B2E"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A1AC5A" w14:textId="77777777" w:rsidR="00BA3E87" w:rsidRDefault="000B2BF4">
            <w:pPr>
              <w:keepNext/>
              <w:keepLines/>
              <w:spacing w:after="0" w:line="240" w:lineRule="auto"/>
              <w:jc w:val="center"/>
            </w:pPr>
            <w:r>
              <w:rPr>
                <w:b/>
                <w:sz w:val="18"/>
              </w:rPr>
              <w:t>Indeks (%)</w:t>
            </w:r>
          </w:p>
        </w:tc>
      </w:tr>
      <w:tr w:rsidR="00BA3E87" w14:paraId="75B2FBFE" w14:textId="77777777">
        <w:trPr>
          <w:cantSplit/>
          <w:trHeight w:val="560"/>
        </w:trPr>
        <w:tc>
          <w:tcPr>
            <w:tcW w:w="700" w:type="dxa"/>
            <w:tcMar>
              <w:top w:w="0" w:type="dxa"/>
              <w:bottom w:w="0" w:type="dxa"/>
            </w:tcMar>
            <w:vAlign w:val="center"/>
          </w:tcPr>
          <w:p w14:paraId="00F9CC19" w14:textId="77777777" w:rsidR="00BA3E87" w:rsidRDefault="000B2BF4">
            <w:pPr>
              <w:keepNext/>
              <w:keepLines/>
              <w:spacing w:after="0" w:line="240" w:lineRule="auto"/>
            </w:pPr>
            <w:r>
              <w:rPr>
                <w:sz w:val="18"/>
              </w:rPr>
              <w:t>633</w:t>
            </w:r>
          </w:p>
        </w:tc>
        <w:tc>
          <w:tcPr>
            <w:tcW w:w="3180" w:type="dxa"/>
            <w:tcMar>
              <w:top w:w="0" w:type="dxa"/>
              <w:bottom w:w="0" w:type="dxa"/>
            </w:tcMar>
            <w:vAlign w:val="center"/>
          </w:tcPr>
          <w:p w14:paraId="0A177D67" w14:textId="77777777" w:rsidR="00BA3E87" w:rsidRDefault="000B2BF4">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4232933D" w14:textId="77777777" w:rsidR="00BA3E87" w:rsidRDefault="000B2BF4">
            <w:pPr>
              <w:keepNext/>
              <w:keepLines/>
              <w:spacing w:after="0" w:line="240" w:lineRule="auto"/>
            </w:pPr>
            <w:r>
              <w:rPr>
                <w:sz w:val="18"/>
              </w:rPr>
              <w:t>633</w:t>
            </w:r>
          </w:p>
        </w:tc>
        <w:tc>
          <w:tcPr>
            <w:tcW w:w="1860" w:type="dxa"/>
            <w:tcMar>
              <w:top w:w="0" w:type="dxa"/>
              <w:bottom w:w="0" w:type="dxa"/>
            </w:tcMar>
            <w:vAlign w:val="center"/>
          </w:tcPr>
          <w:p w14:paraId="294760B1" w14:textId="77777777" w:rsidR="00BA3E87" w:rsidRDefault="000B2BF4">
            <w:pPr>
              <w:keepNext/>
              <w:keepLines/>
              <w:spacing w:after="0" w:line="240" w:lineRule="auto"/>
              <w:jc w:val="right"/>
            </w:pPr>
            <w:r>
              <w:rPr>
                <w:sz w:val="18"/>
              </w:rPr>
              <w:t>10.076.409,26</w:t>
            </w:r>
          </w:p>
        </w:tc>
        <w:tc>
          <w:tcPr>
            <w:tcW w:w="1860" w:type="dxa"/>
            <w:tcMar>
              <w:top w:w="0" w:type="dxa"/>
              <w:bottom w:w="0" w:type="dxa"/>
            </w:tcMar>
            <w:vAlign w:val="center"/>
          </w:tcPr>
          <w:p w14:paraId="32553A12" w14:textId="77777777" w:rsidR="00BA3E87" w:rsidRDefault="000B2BF4">
            <w:pPr>
              <w:keepNext/>
              <w:keepLines/>
              <w:spacing w:after="0" w:line="240" w:lineRule="auto"/>
              <w:jc w:val="right"/>
            </w:pPr>
            <w:r>
              <w:rPr>
                <w:sz w:val="18"/>
              </w:rPr>
              <w:t>12.333.568,59</w:t>
            </w:r>
          </w:p>
        </w:tc>
        <w:tc>
          <w:tcPr>
            <w:tcW w:w="700" w:type="dxa"/>
            <w:tcMar>
              <w:top w:w="0" w:type="dxa"/>
              <w:bottom w:w="0" w:type="dxa"/>
            </w:tcMar>
            <w:vAlign w:val="center"/>
          </w:tcPr>
          <w:p w14:paraId="0AA1A13B" w14:textId="77777777" w:rsidR="00BA3E87" w:rsidRDefault="000B2BF4">
            <w:pPr>
              <w:keepNext/>
              <w:keepLines/>
              <w:spacing w:after="0" w:line="240" w:lineRule="auto"/>
              <w:jc w:val="right"/>
            </w:pPr>
            <w:r>
              <w:rPr>
                <w:sz w:val="18"/>
              </w:rPr>
              <w:t>122,4</w:t>
            </w:r>
          </w:p>
        </w:tc>
      </w:tr>
    </w:tbl>
    <w:p w14:paraId="6E7A3BE0" w14:textId="77777777" w:rsidR="00BA3E87" w:rsidRDefault="00BA3E87">
      <w:pPr>
        <w:spacing w:after="0"/>
      </w:pPr>
    </w:p>
    <w:p w14:paraId="62580346" w14:textId="77777777" w:rsidR="00BA3E87" w:rsidRDefault="000B2BF4">
      <w:pPr>
        <w:jc w:val="both"/>
      </w:pPr>
      <w:r>
        <w:t>Tekuće pomoći iz proračuna kategorija su prihoda koja se ostvaruje u skladu s odlukama državnih tijela i Vlade RH te tijela jedinica lokalne i područne samouprave. U odnosu na prethodno razdoblje najviše je povećan iznos sufinanciranja prijevoza učenika srednjih škola budući da su u 2025. godini, uz iznos za prosinac 2024. godine, u cijelosti podmireni svi Zahtjevi za navedena sredstva za 2025. godinu.</w:t>
      </w:r>
      <w:r>
        <w:br/>
        <w:t>Kapitalne pomoći su također kategorija koja se ostvaruje u skladu s odlukama državnih tijela i ugovorima po projektima sufinanciranima iz državnog proračuna. U oba izvještajna razdoblja najveći iznos kapitalnih pomoći odnosi se na uplate Ministarstva znanosti i obrazovanja, te gradova i općina temeljem sklopljenih sporazuma o sufinanciranju troškova najamnina za školske građevine izgrađene po modelu JPP (u prethodnom razdoblju iznosile su 4.062.440,29 eura, a u tekućem 5.407.327,46 eura). Osim navedenog, u izvještajnom razdoblju tekuće godine primljena su sredstva Ministarstva turizma i sporta za zamjenu poda u školskoj dvorani OŠ Novi Marof (224.610,00 eura), sredstva Ministarstva znanosti, obrazovanja i mladih za sufinanciranje programa Centara izvrsnosti (217.875,82 eura) i za sufinanciranje projekta Rekonstrukcija dvorca Opeka za potrebe Regionalnog centra kompetentnosti u poljoprivredi (77.380,63 eura), sredstva Ministarstva kulture i medija iz Programa zaštite i očuvanja nepokretnih kulturnih dobara za Županijsku palaču (60.000,00 eura), sredstva Ministarstva hrvatskih branitelja za izradu monolita poginulim hrvatskim braniteljima (60.000,00 eura) te sredstva Ministarstva regionalnoga razvoja i fondova EU za projekt energetske obnove doma zdravlja u Vidovcu (38.000,00 eura).</w:t>
      </w:r>
    </w:p>
    <w:p w14:paraId="65827ADB" w14:textId="77777777" w:rsidR="00BA3E87" w:rsidRDefault="00BA3E87"/>
    <w:p w14:paraId="59B00903" w14:textId="77777777" w:rsidR="00BA3E87" w:rsidRDefault="000B2BF4">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68256D20" w14:textId="77777777">
        <w:trPr>
          <w:cantSplit/>
        </w:trPr>
        <w:tc>
          <w:tcPr>
            <w:tcW w:w="700" w:type="dxa"/>
            <w:shd w:val="clear" w:color="auto" w:fill="E7F0F9"/>
            <w:tcMar>
              <w:top w:w="0" w:type="dxa"/>
              <w:bottom w:w="0" w:type="dxa"/>
            </w:tcMar>
            <w:vAlign w:val="center"/>
          </w:tcPr>
          <w:p w14:paraId="51568FAE"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D2ED04"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DB6E06"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189F2B"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9F0266"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2BCB5C" w14:textId="77777777" w:rsidR="00BA3E87" w:rsidRDefault="000B2BF4">
            <w:pPr>
              <w:keepNext/>
              <w:keepLines/>
              <w:spacing w:after="0" w:line="240" w:lineRule="auto"/>
              <w:jc w:val="center"/>
            </w:pPr>
            <w:r>
              <w:rPr>
                <w:b/>
                <w:sz w:val="18"/>
              </w:rPr>
              <w:t>Indeks (%)</w:t>
            </w:r>
          </w:p>
        </w:tc>
      </w:tr>
      <w:tr w:rsidR="00BA3E87" w14:paraId="5BF68A7D" w14:textId="77777777">
        <w:trPr>
          <w:cantSplit/>
          <w:trHeight w:val="560"/>
        </w:trPr>
        <w:tc>
          <w:tcPr>
            <w:tcW w:w="700" w:type="dxa"/>
            <w:tcMar>
              <w:top w:w="0" w:type="dxa"/>
              <w:bottom w:w="0" w:type="dxa"/>
            </w:tcMar>
            <w:vAlign w:val="center"/>
          </w:tcPr>
          <w:p w14:paraId="7ED84342" w14:textId="77777777" w:rsidR="00BA3E87" w:rsidRDefault="000B2BF4">
            <w:pPr>
              <w:keepNext/>
              <w:keepLines/>
              <w:spacing w:after="0" w:line="240" w:lineRule="auto"/>
            </w:pPr>
            <w:r>
              <w:rPr>
                <w:sz w:val="18"/>
              </w:rPr>
              <w:t>635</w:t>
            </w:r>
          </w:p>
        </w:tc>
        <w:tc>
          <w:tcPr>
            <w:tcW w:w="3180" w:type="dxa"/>
            <w:tcMar>
              <w:top w:w="0" w:type="dxa"/>
              <w:bottom w:w="0" w:type="dxa"/>
            </w:tcMar>
            <w:vAlign w:val="center"/>
          </w:tcPr>
          <w:p w14:paraId="499924A0" w14:textId="77777777" w:rsidR="00BA3E87" w:rsidRDefault="000B2BF4">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131EEC76" w14:textId="77777777" w:rsidR="00BA3E87" w:rsidRDefault="000B2BF4">
            <w:pPr>
              <w:keepNext/>
              <w:keepLines/>
              <w:spacing w:after="0" w:line="240" w:lineRule="auto"/>
            </w:pPr>
            <w:r>
              <w:rPr>
                <w:sz w:val="18"/>
              </w:rPr>
              <w:t>635</w:t>
            </w:r>
          </w:p>
        </w:tc>
        <w:tc>
          <w:tcPr>
            <w:tcW w:w="1860" w:type="dxa"/>
            <w:tcMar>
              <w:top w:w="0" w:type="dxa"/>
              <w:bottom w:w="0" w:type="dxa"/>
            </w:tcMar>
            <w:vAlign w:val="center"/>
          </w:tcPr>
          <w:p w14:paraId="246238A5" w14:textId="77777777" w:rsidR="00BA3E87" w:rsidRDefault="000B2BF4">
            <w:pPr>
              <w:keepNext/>
              <w:keepLines/>
              <w:spacing w:after="0" w:line="240" w:lineRule="auto"/>
              <w:jc w:val="right"/>
            </w:pPr>
            <w:r>
              <w:rPr>
                <w:sz w:val="18"/>
              </w:rPr>
              <w:t>6.189.962,87</w:t>
            </w:r>
          </w:p>
        </w:tc>
        <w:tc>
          <w:tcPr>
            <w:tcW w:w="1860" w:type="dxa"/>
            <w:tcMar>
              <w:top w:w="0" w:type="dxa"/>
              <w:bottom w:w="0" w:type="dxa"/>
            </w:tcMar>
            <w:vAlign w:val="center"/>
          </w:tcPr>
          <w:p w14:paraId="6723DA3F" w14:textId="77777777" w:rsidR="00BA3E87" w:rsidRDefault="000B2BF4">
            <w:pPr>
              <w:keepNext/>
              <w:keepLines/>
              <w:spacing w:after="0" w:line="240" w:lineRule="auto"/>
              <w:jc w:val="right"/>
            </w:pPr>
            <w:r>
              <w:rPr>
                <w:sz w:val="18"/>
              </w:rPr>
              <w:t>6.445.917,29</w:t>
            </w:r>
          </w:p>
        </w:tc>
        <w:tc>
          <w:tcPr>
            <w:tcW w:w="700" w:type="dxa"/>
            <w:tcMar>
              <w:top w:w="0" w:type="dxa"/>
              <w:bottom w:w="0" w:type="dxa"/>
            </w:tcMar>
            <w:vAlign w:val="center"/>
          </w:tcPr>
          <w:p w14:paraId="65788797" w14:textId="77777777" w:rsidR="00BA3E87" w:rsidRDefault="000B2BF4">
            <w:pPr>
              <w:keepNext/>
              <w:keepLines/>
              <w:spacing w:after="0" w:line="240" w:lineRule="auto"/>
              <w:jc w:val="right"/>
            </w:pPr>
            <w:r>
              <w:rPr>
                <w:sz w:val="18"/>
              </w:rPr>
              <w:t>104,1</w:t>
            </w:r>
          </w:p>
        </w:tc>
      </w:tr>
    </w:tbl>
    <w:p w14:paraId="1C2BC710" w14:textId="77777777" w:rsidR="00BA3E87" w:rsidRDefault="00BA3E87">
      <w:pPr>
        <w:spacing w:after="0"/>
      </w:pPr>
    </w:p>
    <w:p w14:paraId="568068A2" w14:textId="77777777" w:rsidR="00BA3E87" w:rsidRDefault="000B2BF4">
      <w:pPr>
        <w:jc w:val="both"/>
      </w:pPr>
      <w:r>
        <w:t>U skladu sa novim Pravilnikom o proračunskom računovodstvu i Računskom planu („Narodne novine“ br. 158/23, 154/24), pomoći fiskalnog izravnanja u tekućem razdoblju evidentirane su na novom odjeljku 6353 u iznosu od 105.602,41 eura, dok su u izvještajnom razdoblju prethodne godine bile evidentirane u sklopu odjeljka 6331 u iznosu od 233.702,40 eura.</w:t>
      </w:r>
    </w:p>
    <w:p w14:paraId="173AF50E" w14:textId="77777777" w:rsidR="00BA3E87" w:rsidRDefault="00BA3E87"/>
    <w:p w14:paraId="4BD7EAA2" w14:textId="77777777" w:rsidR="00BA3E87" w:rsidRDefault="000B2BF4">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46D59062" w14:textId="77777777">
        <w:trPr>
          <w:cantSplit/>
        </w:trPr>
        <w:tc>
          <w:tcPr>
            <w:tcW w:w="700" w:type="dxa"/>
            <w:shd w:val="clear" w:color="auto" w:fill="E7F0F9"/>
            <w:tcMar>
              <w:top w:w="0" w:type="dxa"/>
              <w:bottom w:w="0" w:type="dxa"/>
            </w:tcMar>
            <w:vAlign w:val="center"/>
          </w:tcPr>
          <w:p w14:paraId="35512CCF"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30C084"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564E17"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FE7C6E"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F86B05"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2E573E" w14:textId="77777777" w:rsidR="00BA3E87" w:rsidRDefault="000B2BF4">
            <w:pPr>
              <w:keepNext/>
              <w:keepLines/>
              <w:spacing w:after="0" w:line="240" w:lineRule="auto"/>
              <w:jc w:val="center"/>
            </w:pPr>
            <w:r>
              <w:rPr>
                <w:b/>
                <w:sz w:val="18"/>
              </w:rPr>
              <w:t>Indeks (%)</w:t>
            </w:r>
          </w:p>
        </w:tc>
      </w:tr>
      <w:tr w:rsidR="00BA3E87" w14:paraId="2E444887" w14:textId="77777777">
        <w:trPr>
          <w:cantSplit/>
          <w:trHeight w:val="560"/>
        </w:trPr>
        <w:tc>
          <w:tcPr>
            <w:tcW w:w="700" w:type="dxa"/>
            <w:tcMar>
              <w:top w:w="0" w:type="dxa"/>
              <w:bottom w:w="0" w:type="dxa"/>
            </w:tcMar>
            <w:vAlign w:val="center"/>
          </w:tcPr>
          <w:p w14:paraId="0A10D58D" w14:textId="77777777" w:rsidR="00BA3E87" w:rsidRDefault="000B2BF4">
            <w:pPr>
              <w:keepNext/>
              <w:keepLines/>
              <w:spacing w:after="0" w:line="240" w:lineRule="auto"/>
            </w:pPr>
            <w:r>
              <w:rPr>
                <w:sz w:val="18"/>
              </w:rPr>
              <w:t>638</w:t>
            </w:r>
          </w:p>
        </w:tc>
        <w:tc>
          <w:tcPr>
            <w:tcW w:w="3180" w:type="dxa"/>
            <w:tcMar>
              <w:top w:w="0" w:type="dxa"/>
              <w:bottom w:w="0" w:type="dxa"/>
            </w:tcMar>
            <w:vAlign w:val="center"/>
          </w:tcPr>
          <w:p w14:paraId="42DD3373" w14:textId="77777777" w:rsidR="00BA3E87" w:rsidRDefault="000B2BF4">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3B0BA994" w14:textId="77777777" w:rsidR="00BA3E87" w:rsidRDefault="000B2BF4">
            <w:pPr>
              <w:keepNext/>
              <w:keepLines/>
              <w:spacing w:after="0" w:line="240" w:lineRule="auto"/>
            </w:pPr>
            <w:r>
              <w:rPr>
                <w:sz w:val="18"/>
              </w:rPr>
              <w:t>638</w:t>
            </w:r>
          </w:p>
        </w:tc>
        <w:tc>
          <w:tcPr>
            <w:tcW w:w="1860" w:type="dxa"/>
            <w:tcMar>
              <w:top w:w="0" w:type="dxa"/>
              <w:bottom w:w="0" w:type="dxa"/>
            </w:tcMar>
            <w:vAlign w:val="center"/>
          </w:tcPr>
          <w:p w14:paraId="497574B2" w14:textId="77777777" w:rsidR="00BA3E87" w:rsidRDefault="000B2BF4">
            <w:pPr>
              <w:keepNext/>
              <w:keepLines/>
              <w:spacing w:after="0" w:line="240" w:lineRule="auto"/>
              <w:jc w:val="right"/>
            </w:pPr>
            <w:r>
              <w:rPr>
                <w:sz w:val="18"/>
              </w:rPr>
              <w:t>739.739,15</w:t>
            </w:r>
          </w:p>
        </w:tc>
        <w:tc>
          <w:tcPr>
            <w:tcW w:w="1860" w:type="dxa"/>
            <w:tcMar>
              <w:top w:w="0" w:type="dxa"/>
              <w:bottom w:w="0" w:type="dxa"/>
            </w:tcMar>
            <w:vAlign w:val="center"/>
          </w:tcPr>
          <w:p w14:paraId="3A0ABA04" w14:textId="77777777" w:rsidR="00BA3E87" w:rsidRDefault="000B2BF4">
            <w:pPr>
              <w:keepNext/>
              <w:keepLines/>
              <w:spacing w:after="0" w:line="240" w:lineRule="auto"/>
              <w:jc w:val="right"/>
            </w:pPr>
            <w:r>
              <w:rPr>
                <w:sz w:val="18"/>
              </w:rPr>
              <w:t>5.643.932,32</w:t>
            </w:r>
          </w:p>
        </w:tc>
        <w:tc>
          <w:tcPr>
            <w:tcW w:w="700" w:type="dxa"/>
            <w:tcMar>
              <w:top w:w="0" w:type="dxa"/>
              <w:bottom w:w="0" w:type="dxa"/>
            </w:tcMar>
            <w:vAlign w:val="center"/>
          </w:tcPr>
          <w:p w14:paraId="488EEDC4" w14:textId="77777777" w:rsidR="00BA3E87" w:rsidRDefault="000B2BF4">
            <w:pPr>
              <w:keepNext/>
              <w:keepLines/>
              <w:spacing w:after="0" w:line="240" w:lineRule="auto"/>
              <w:jc w:val="right"/>
            </w:pPr>
            <w:r>
              <w:rPr>
                <w:sz w:val="18"/>
              </w:rPr>
              <w:t>763,0</w:t>
            </w:r>
          </w:p>
        </w:tc>
      </w:tr>
    </w:tbl>
    <w:p w14:paraId="0C9F3219" w14:textId="77777777" w:rsidR="00BA3E87" w:rsidRDefault="00BA3E87">
      <w:pPr>
        <w:spacing w:after="0"/>
      </w:pPr>
    </w:p>
    <w:p w14:paraId="52518E65" w14:textId="77777777" w:rsidR="00BA3E87" w:rsidRDefault="000B2BF4">
      <w:r>
        <w:t>Pomoći temeljem prijenosa EU sredstava ovise o ugovorenoj dinamici pojedinog projekta, a ostvarene su u većem iznosu u odnosu na izvještajno razdoblje prethodne godine. U izvještajnom razdoblju tekuće godine ostvareni su sljedeći prihodi po EU projektima:</w:t>
      </w:r>
    </w:p>
    <w:p w14:paraId="1DD0A411" w14:textId="77777777" w:rsidR="00BA3E87" w:rsidRDefault="000B2BF4">
      <w:pPr>
        <w:pStyle w:val="Odlomakpopisa"/>
        <w:numPr>
          <w:ilvl w:val="0"/>
          <w:numId w:val="1"/>
        </w:numPr>
      </w:pPr>
      <w:r>
        <w:t>Rekonstrukcija i dogradnja OŠ Ivanec 2.886.324,08 eura,</w:t>
      </w:r>
    </w:p>
    <w:p w14:paraId="6832DED0" w14:textId="77777777" w:rsidR="00BA3E87" w:rsidRDefault="000B2BF4">
      <w:pPr>
        <w:pStyle w:val="Odlomakpopisa"/>
        <w:numPr>
          <w:ilvl w:val="0"/>
          <w:numId w:val="1"/>
        </w:numPr>
      </w:pPr>
      <w:r>
        <w:t>Rekonstrukcija i dogradnja PŠ Strmec Podravski 1.228.443,41 eura,</w:t>
      </w:r>
    </w:p>
    <w:p w14:paraId="029ACC13" w14:textId="77777777" w:rsidR="00BA3E87" w:rsidRDefault="000B2BF4">
      <w:pPr>
        <w:pStyle w:val="Odlomakpopisa"/>
        <w:numPr>
          <w:ilvl w:val="0"/>
          <w:numId w:val="1"/>
        </w:numPr>
      </w:pPr>
      <w:r>
        <w:t>I ti možeš 657.302,68 eura,</w:t>
      </w:r>
    </w:p>
    <w:p w14:paraId="0793A7B5" w14:textId="77777777" w:rsidR="00BA3E87" w:rsidRDefault="000B2BF4">
      <w:pPr>
        <w:pStyle w:val="Odlomakpopisa"/>
        <w:numPr>
          <w:ilvl w:val="0"/>
          <w:numId w:val="1"/>
        </w:numPr>
      </w:pPr>
      <w:r>
        <w:t>Energetska obnova upravne zgrade u Ivancu 394.189,78 eura,</w:t>
      </w:r>
    </w:p>
    <w:p w14:paraId="46958414" w14:textId="77777777" w:rsidR="00BA3E87" w:rsidRDefault="000B2BF4">
      <w:pPr>
        <w:pStyle w:val="Odlomakpopisa"/>
        <w:numPr>
          <w:ilvl w:val="0"/>
          <w:numId w:val="1"/>
        </w:numPr>
      </w:pPr>
      <w:r>
        <w:t>Izgradnja Regionalnog centra civilne zaštite Varaždin 284.287,09 eura,</w:t>
      </w:r>
    </w:p>
    <w:p w14:paraId="70F8BC02" w14:textId="77777777" w:rsidR="00BA3E87" w:rsidRDefault="000B2BF4">
      <w:pPr>
        <w:pStyle w:val="Odlomakpopisa"/>
        <w:numPr>
          <w:ilvl w:val="0"/>
          <w:numId w:val="1"/>
        </w:numPr>
      </w:pPr>
      <w:r>
        <w:t>Rekonstrukcija i dogradnja PŠ Nova Ves Petrijanečka 146.493,00 eura,</w:t>
      </w:r>
    </w:p>
    <w:p w14:paraId="115197F5" w14:textId="77777777" w:rsidR="00BA3E87" w:rsidRDefault="000B2BF4">
      <w:pPr>
        <w:pStyle w:val="Odlomakpopisa"/>
        <w:numPr>
          <w:ilvl w:val="0"/>
          <w:numId w:val="1"/>
        </w:numPr>
      </w:pPr>
      <w:r>
        <w:t>Revitalizacija austrougarskog vojnog konjičkog kompleksa Varaždinske županije 23.736,60 eura,</w:t>
      </w:r>
    </w:p>
    <w:p w14:paraId="023F55F8" w14:textId="77777777" w:rsidR="00BA3E87" w:rsidRDefault="000B2BF4">
      <w:pPr>
        <w:pStyle w:val="Odlomakpopisa"/>
        <w:numPr>
          <w:ilvl w:val="0"/>
          <w:numId w:val="1"/>
        </w:numPr>
      </w:pPr>
      <w:r>
        <w:t>Arboretum Opeka-održiva zelena destinacija 15.280,22 eura,</w:t>
      </w:r>
    </w:p>
    <w:p w14:paraId="52D1B4E7" w14:textId="77777777" w:rsidR="00BA3E87" w:rsidRDefault="000B2BF4">
      <w:pPr>
        <w:pStyle w:val="Odlomakpopisa"/>
        <w:numPr>
          <w:ilvl w:val="0"/>
          <w:numId w:val="1"/>
        </w:numPr>
      </w:pPr>
      <w:r>
        <w:t>Rekonstrukcija i opremanje-Graditeljska, prirodoslovna i rudarska škola 3.750,00,</w:t>
      </w:r>
    </w:p>
    <w:p w14:paraId="5215E965" w14:textId="77777777" w:rsidR="00BA3E87" w:rsidRDefault="000B2BF4">
      <w:pPr>
        <w:pStyle w:val="Odlomakpopisa"/>
        <w:numPr>
          <w:ilvl w:val="0"/>
          <w:numId w:val="1"/>
        </w:numPr>
      </w:pPr>
      <w:r>
        <w:t>Rekonstrukcija i opremanje Gospodarske Škole Vž 2.937,50,</w:t>
      </w:r>
    </w:p>
    <w:p w14:paraId="2DA7B29E" w14:textId="77777777" w:rsidR="00BA3E87" w:rsidRDefault="000B2BF4">
      <w:pPr>
        <w:pStyle w:val="Odlomakpopisa"/>
        <w:numPr>
          <w:ilvl w:val="0"/>
          <w:numId w:val="1"/>
        </w:numPr>
      </w:pPr>
      <w:r>
        <w:t>Socijalni plan Varaždinske županije 2024.-2026. 1.187,96 eura.</w:t>
      </w:r>
    </w:p>
    <w:p w14:paraId="157C1298" w14:textId="77777777" w:rsidR="00BA3E87" w:rsidRDefault="000B2BF4">
      <w:r>
        <w:t> </w:t>
      </w:r>
    </w:p>
    <w:p w14:paraId="53E217BA" w14:textId="77777777" w:rsidR="00BA3E87" w:rsidRDefault="000B2BF4">
      <w:r>
        <w:t> </w:t>
      </w:r>
    </w:p>
    <w:p w14:paraId="23B5117D" w14:textId="77777777" w:rsidR="00BA3E87" w:rsidRDefault="00BA3E87"/>
    <w:p w14:paraId="746CB6DB" w14:textId="77777777" w:rsidR="00BA3E87" w:rsidRDefault="000B2BF4">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564BB628" w14:textId="77777777">
        <w:trPr>
          <w:cantSplit/>
        </w:trPr>
        <w:tc>
          <w:tcPr>
            <w:tcW w:w="700" w:type="dxa"/>
            <w:shd w:val="clear" w:color="auto" w:fill="E7F0F9"/>
            <w:tcMar>
              <w:top w:w="0" w:type="dxa"/>
              <w:bottom w:w="0" w:type="dxa"/>
            </w:tcMar>
            <w:vAlign w:val="center"/>
          </w:tcPr>
          <w:p w14:paraId="09AFF695"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9371E5"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8527C6"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5398A4"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13B0E1"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7597C1" w14:textId="77777777" w:rsidR="00BA3E87" w:rsidRDefault="000B2BF4">
            <w:pPr>
              <w:keepNext/>
              <w:keepLines/>
              <w:spacing w:after="0" w:line="240" w:lineRule="auto"/>
              <w:jc w:val="center"/>
            </w:pPr>
            <w:r>
              <w:rPr>
                <w:b/>
                <w:sz w:val="18"/>
              </w:rPr>
              <w:t>Indeks (%)</w:t>
            </w:r>
          </w:p>
        </w:tc>
      </w:tr>
      <w:tr w:rsidR="00BA3E87" w14:paraId="4D23D6A9" w14:textId="77777777">
        <w:trPr>
          <w:cantSplit/>
          <w:trHeight w:val="560"/>
        </w:trPr>
        <w:tc>
          <w:tcPr>
            <w:tcW w:w="700" w:type="dxa"/>
            <w:tcMar>
              <w:top w:w="0" w:type="dxa"/>
              <w:bottom w:w="0" w:type="dxa"/>
            </w:tcMar>
            <w:vAlign w:val="center"/>
          </w:tcPr>
          <w:p w14:paraId="3197FDB7" w14:textId="77777777" w:rsidR="00BA3E87" w:rsidRDefault="000B2BF4">
            <w:pPr>
              <w:keepNext/>
              <w:keepLines/>
              <w:spacing w:after="0" w:line="240" w:lineRule="auto"/>
            </w:pPr>
            <w:r>
              <w:rPr>
                <w:sz w:val="18"/>
              </w:rPr>
              <w:t>642</w:t>
            </w:r>
          </w:p>
        </w:tc>
        <w:tc>
          <w:tcPr>
            <w:tcW w:w="3180" w:type="dxa"/>
            <w:tcMar>
              <w:top w:w="0" w:type="dxa"/>
              <w:bottom w:w="0" w:type="dxa"/>
            </w:tcMar>
            <w:vAlign w:val="center"/>
          </w:tcPr>
          <w:p w14:paraId="2EED1F83" w14:textId="77777777" w:rsidR="00BA3E87" w:rsidRDefault="000B2BF4">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59DEA9BF" w14:textId="77777777" w:rsidR="00BA3E87" w:rsidRDefault="000B2BF4">
            <w:pPr>
              <w:keepNext/>
              <w:keepLines/>
              <w:spacing w:after="0" w:line="240" w:lineRule="auto"/>
            </w:pPr>
            <w:r>
              <w:rPr>
                <w:sz w:val="18"/>
              </w:rPr>
              <w:t>642</w:t>
            </w:r>
          </w:p>
        </w:tc>
        <w:tc>
          <w:tcPr>
            <w:tcW w:w="1860" w:type="dxa"/>
            <w:tcMar>
              <w:top w:w="0" w:type="dxa"/>
              <w:bottom w:w="0" w:type="dxa"/>
            </w:tcMar>
            <w:vAlign w:val="center"/>
          </w:tcPr>
          <w:p w14:paraId="4E22F754" w14:textId="77777777" w:rsidR="00BA3E87" w:rsidRDefault="000B2BF4">
            <w:pPr>
              <w:keepNext/>
              <w:keepLines/>
              <w:spacing w:after="0" w:line="240" w:lineRule="auto"/>
              <w:jc w:val="right"/>
            </w:pPr>
            <w:r>
              <w:rPr>
                <w:sz w:val="18"/>
              </w:rPr>
              <w:t>302.149,72</w:t>
            </w:r>
          </w:p>
        </w:tc>
        <w:tc>
          <w:tcPr>
            <w:tcW w:w="1860" w:type="dxa"/>
            <w:tcMar>
              <w:top w:w="0" w:type="dxa"/>
              <w:bottom w:w="0" w:type="dxa"/>
            </w:tcMar>
            <w:vAlign w:val="center"/>
          </w:tcPr>
          <w:p w14:paraId="2E771D6B" w14:textId="77777777" w:rsidR="00BA3E87" w:rsidRDefault="000B2BF4">
            <w:pPr>
              <w:keepNext/>
              <w:keepLines/>
              <w:spacing w:after="0" w:line="240" w:lineRule="auto"/>
              <w:jc w:val="right"/>
            </w:pPr>
            <w:r>
              <w:rPr>
                <w:sz w:val="18"/>
              </w:rPr>
              <w:t>427.840,51</w:t>
            </w:r>
          </w:p>
        </w:tc>
        <w:tc>
          <w:tcPr>
            <w:tcW w:w="700" w:type="dxa"/>
            <w:tcMar>
              <w:top w:w="0" w:type="dxa"/>
              <w:bottom w:w="0" w:type="dxa"/>
            </w:tcMar>
            <w:vAlign w:val="center"/>
          </w:tcPr>
          <w:p w14:paraId="2AB06BC9" w14:textId="77777777" w:rsidR="00BA3E87" w:rsidRDefault="000B2BF4">
            <w:pPr>
              <w:keepNext/>
              <w:keepLines/>
              <w:spacing w:after="0" w:line="240" w:lineRule="auto"/>
              <w:jc w:val="right"/>
            </w:pPr>
            <w:r>
              <w:rPr>
                <w:sz w:val="18"/>
              </w:rPr>
              <w:t>141,6</w:t>
            </w:r>
          </w:p>
        </w:tc>
      </w:tr>
    </w:tbl>
    <w:p w14:paraId="72EEE6A9" w14:textId="77777777" w:rsidR="00BA3E87" w:rsidRDefault="00BA3E87">
      <w:pPr>
        <w:spacing w:after="0"/>
      </w:pPr>
    </w:p>
    <w:p w14:paraId="5213D65B" w14:textId="77777777" w:rsidR="00BA3E87" w:rsidRDefault="000B2BF4">
      <w:pPr>
        <w:jc w:val="both"/>
      </w:pPr>
      <w:r>
        <w:t>Prihodi od nefinancijske imovine odnose se na naplatu koncesije za plin te javna vodna dobra, prihode od zakupa i iznajmljivanja imovine i poljoprivrednog zemljišta, lovozakupnine, te naplate naknade za eksploataciju mineralnih sirovina. U odnosu na izvještajno razdoblje prethodne godine najveći porast prihoda od nefinancijske imovine odnosi se na naknade za otkopanu količinu neenergetskih mineralnih sirovina (u 2024. godini ostvareno je 177.025,47 eura, a u 2025. godini 298.849,60 eura navedenog prihoda).</w:t>
      </w:r>
    </w:p>
    <w:p w14:paraId="5E134FBA" w14:textId="77777777" w:rsidR="00BA3E87" w:rsidRDefault="00BA3E87"/>
    <w:p w14:paraId="25E67747" w14:textId="77777777" w:rsidR="00BA3E87" w:rsidRDefault="000B2BF4">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1AAC6ADF" w14:textId="77777777">
        <w:trPr>
          <w:cantSplit/>
        </w:trPr>
        <w:tc>
          <w:tcPr>
            <w:tcW w:w="700" w:type="dxa"/>
            <w:shd w:val="clear" w:color="auto" w:fill="E7F0F9"/>
            <w:tcMar>
              <w:top w:w="0" w:type="dxa"/>
              <w:bottom w:w="0" w:type="dxa"/>
            </w:tcMar>
            <w:vAlign w:val="center"/>
          </w:tcPr>
          <w:p w14:paraId="157A9711"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022A77"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23CF0D"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CB0BED"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9553A6"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B6C4E5" w14:textId="77777777" w:rsidR="00BA3E87" w:rsidRDefault="000B2BF4">
            <w:pPr>
              <w:keepNext/>
              <w:keepLines/>
              <w:spacing w:after="0" w:line="240" w:lineRule="auto"/>
              <w:jc w:val="center"/>
            </w:pPr>
            <w:r>
              <w:rPr>
                <w:b/>
                <w:sz w:val="18"/>
              </w:rPr>
              <w:t>Indeks (%)</w:t>
            </w:r>
          </w:p>
        </w:tc>
      </w:tr>
      <w:tr w:rsidR="00BA3E87" w14:paraId="5B142AFC" w14:textId="77777777">
        <w:trPr>
          <w:cantSplit/>
          <w:trHeight w:val="560"/>
        </w:trPr>
        <w:tc>
          <w:tcPr>
            <w:tcW w:w="700" w:type="dxa"/>
            <w:tcMar>
              <w:top w:w="0" w:type="dxa"/>
              <w:bottom w:w="0" w:type="dxa"/>
            </w:tcMar>
            <w:vAlign w:val="center"/>
          </w:tcPr>
          <w:p w14:paraId="638CB325" w14:textId="77777777" w:rsidR="00BA3E87" w:rsidRDefault="000B2BF4">
            <w:pPr>
              <w:keepNext/>
              <w:keepLines/>
              <w:spacing w:after="0" w:line="240" w:lineRule="auto"/>
            </w:pPr>
            <w:r>
              <w:rPr>
                <w:sz w:val="18"/>
              </w:rPr>
              <w:t>652</w:t>
            </w:r>
          </w:p>
        </w:tc>
        <w:tc>
          <w:tcPr>
            <w:tcW w:w="3180" w:type="dxa"/>
            <w:tcMar>
              <w:top w:w="0" w:type="dxa"/>
              <w:bottom w:w="0" w:type="dxa"/>
            </w:tcMar>
            <w:vAlign w:val="center"/>
          </w:tcPr>
          <w:p w14:paraId="27C16CE2" w14:textId="77777777" w:rsidR="00BA3E87" w:rsidRDefault="000B2BF4">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427AD6CB" w14:textId="77777777" w:rsidR="00BA3E87" w:rsidRDefault="000B2BF4">
            <w:pPr>
              <w:keepNext/>
              <w:keepLines/>
              <w:spacing w:after="0" w:line="240" w:lineRule="auto"/>
            </w:pPr>
            <w:r>
              <w:rPr>
                <w:sz w:val="18"/>
              </w:rPr>
              <w:t>652</w:t>
            </w:r>
          </w:p>
        </w:tc>
        <w:tc>
          <w:tcPr>
            <w:tcW w:w="1860" w:type="dxa"/>
            <w:tcMar>
              <w:top w:w="0" w:type="dxa"/>
              <w:bottom w:w="0" w:type="dxa"/>
            </w:tcMar>
            <w:vAlign w:val="center"/>
          </w:tcPr>
          <w:p w14:paraId="7D8F0887" w14:textId="77777777" w:rsidR="00BA3E87" w:rsidRDefault="000B2BF4">
            <w:pPr>
              <w:keepNext/>
              <w:keepLines/>
              <w:spacing w:after="0" w:line="240" w:lineRule="auto"/>
              <w:jc w:val="right"/>
            </w:pPr>
            <w:r>
              <w:rPr>
                <w:sz w:val="18"/>
              </w:rPr>
              <w:t>392.175,82</w:t>
            </w:r>
          </w:p>
        </w:tc>
        <w:tc>
          <w:tcPr>
            <w:tcW w:w="1860" w:type="dxa"/>
            <w:tcMar>
              <w:top w:w="0" w:type="dxa"/>
              <w:bottom w:w="0" w:type="dxa"/>
            </w:tcMar>
            <w:vAlign w:val="center"/>
          </w:tcPr>
          <w:p w14:paraId="73471AA0" w14:textId="77777777" w:rsidR="00BA3E87" w:rsidRDefault="000B2BF4">
            <w:pPr>
              <w:keepNext/>
              <w:keepLines/>
              <w:spacing w:after="0" w:line="240" w:lineRule="auto"/>
              <w:jc w:val="right"/>
            </w:pPr>
            <w:r>
              <w:rPr>
                <w:sz w:val="18"/>
              </w:rPr>
              <w:t>250.432,48</w:t>
            </w:r>
          </w:p>
        </w:tc>
        <w:tc>
          <w:tcPr>
            <w:tcW w:w="700" w:type="dxa"/>
            <w:tcMar>
              <w:top w:w="0" w:type="dxa"/>
              <w:bottom w:w="0" w:type="dxa"/>
            </w:tcMar>
            <w:vAlign w:val="center"/>
          </w:tcPr>
          <w:p w14:paraId="09D5686F" w14:textId="77777777" w:rsidR="00BA3E87" w:rsidRDefault="000B2BF4">
            <w:pPr>
              <w:keepNext/>
              <w:keepLines/>
              <w:spacing w:after="0" w:line="240" w:lineRule="auto"/>
              <w:jc w:val="right"/>
            </w:pPr>
            <w:r>
              <w:rPr>
                <w:sz w:val="18"/>
              </w:rPr>
              <w:t>63,9</w:t>
            </w:r>
          </w:p>
        </w:tc>
      </w:tr>
    </w:tbl>
    <w:p w14:paraId="2FC1FC62" w14:textId="77777777" w:rsidR="00BA3E87" w:rsidRDefault="00BA3E87">
      <w:pPr>
        <w:spacing w:after="0"/>
      </w:pPr>
    </w:p>
    <w:p w14:paraId="3FFC1897" w14:textId="77777777" w:rsidR="00BA3E87" w:rsidRDefault="000B2BF4">
      <w:pPr>
        <w:jc w:val="both"/>
      </w:pPr>
      <w:r>
        <w:t>Odnosi se na refundaciju režijskih troškova korisnika prostora koji su u županijskom vlasništvu, refundaciju rashoda iz prethodnih razdoblja, povrat studentskih kredita po kojima je Varaždinska županija solidarni jamac i povrate stipendija, te ostale prihode za posebne namjene. U 2024. godini veći prihodi unutar ove kategorije ponajviše su posljedica povrata sredstava sufinanciranja provedbe projekata od strane Opće bolnice Varaždin u cilju izbjegavanja dvostrukog financiranja istih budući da su sredstva za navedene projekte Općoj bolnici naknadno odobrena od Središnje agencije za financiranje i ugovaranje programa i projekata Europske unije - izvršen je povrat po projektima Uspostava OHBP-a, Dnevna bolnica / jednodnevna kirurgija te Izgradnja spojnog objekta OBV Novi Marof od  296.764,77 eura.</w:t>
      </w:r>
    </w:p>
    <w:p w14:paraId="45481C4A" w14:textId="77777777" w:rsidR="00BA3E87" w:rsidRDefault="000B2BF4">
      <w:r>
        <w:t> </w:t>
      </w:r>
    </w:p>
    <w:p w14:paraId="7A722F00" w14:textId="77777777" w:rsidR="00BA3E87" w:rsidRDefault="00BA3E87"/>
    <w:p w14:paraId="09821754" w14:textId="77777777" w:rsidR="00BA3E87" w:rsidRDefault="000B2BF4">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4A1073C0" w14:textId="77777777">
        <w:trPr>
          <w:cantSplit/>
        </w:trPr>
        <w:tc>
          <w:tcPr>
            <w:tcW w:w="700" w:type="dxa"/>
            <w:shd w:val="clear" w:color="auto" w:fill="E7F0F9"/>
            <w:tcMar>
              <w:top w:w="0" w:type="dxa"/>
              <w:bottom w:w="0" w:type="dxa"/>
            </w:tcMar>
            <w:vAlign w:val="center"/>
          </w:tcPr>
          <w:p w14:paraId="5EC59C99"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15846E"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864A8C"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E6CDDB"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73FABE"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66F6A2" w14:textId="77777777" w:rsidR="00BA3E87" w:rsidRDefault="000B2BF4">
            <w:pPr>
              <w:keepNext/>
              <w:keepLines/>
              <w:spacing w:after="0" w:line="240" w:lineRule="auto"/>
              <w:jc w:val="center"/>
            </w:pPr>
            <w:r>
              <w:rPr>
                <w:b/>
                <w:sz w:val="18"/>
              </w:rPr>
              <w:t>Indeks (%)</w:t>
            </w:r>
          </w:p>
        </w:tc>
      </w:tr>
      <w:tr w:rsidR="00BA3E87" w14:paraId="7105E1D1" w14:textId="77777777">
        <w:trPr>
          <w:cantSplit/>
          <w:trHeight w:val="560"/>
        </w:trPr>
        <w:tc>
          <w:tcPr>
            <w:tcW w:w="700" w:type="dxa"/>
            <w:tcMar>
              <w:top w:w="0" w:type="dxa"/>
              <w:bottom w:w="0" w:type="dxa"/>
            </w:tcMar>
            <w:vAlign w:val="center"/>
          </w:tcPr>
          <w:p w14:paraId="743570DA" w14:textId="77777777" w:rsidR="00BA3E87" w:rsidRDefault="000B2BF4">
            <w:pPr>
              <w:keepNext/>
              <w:keepLines/>
              <w:spacing w:after="0" w:line="240" w:lineRule="auto"/>
            </w:pPr>
            <w:r>
              <w:rPr>
                <w:sz w:val="18"/>
              </w:rPr>
              <w:t>323</w:t>
            </w:r>
          </w:p>
        </w:tc>
        <w:tc>
          <w:tcPr>
            <w:tcW w:w="3180" w:type="dxa"/>
            <w:tcMar>
              <w:top w:w="0" w:type="dxa"/>
              <w:bottom w:w="0" w:type="dxa"/>
            </w:tcMar>
            <w:vAlign w:val="center"/>
          </w:tcPr>
          <w:p w14:paraId="41374ECF" w14:textId="77777777" w:rsidR="00BA3E87" w:rsidRDefault="000B2BF4">
            <w:pPr>
              <w:keepNext/>
              <w:keepLines/>
              <w:spacing w:after="0" w:line="240" w:lineRule="auto"/>
            </w:pPr>
            <w:r>
              <w:rPr>
                <w:sz w:val="18"/>
              </w:rPr>
              <w:t>Rashodi za usluge (šifre 3231 do 3239)</w:t>
            </w:r>
          </w:p>
        </w:tc>
        <w:tc>
          <w:tcPr>
            <w:tcW w:w="700" w:type="dxa"/>
            <w:tcMar>
              <w:top w:w="0" w:type="dxa"/>
              <w:bottom w:w="0" w:type="dxa"/>
            </w:tcMar>
            <w:vAlign w:val="center"/>
          </w:tcPr>
          <w:p w14:paraId="01D73F88" w14:textId="77777777" w:rsidR="00BA3E87" w:rsidRDefault="000B2BF4">
            <w:pPr>
              <w:keepNext/>
              <w:keepLines/>
              <w:spacing w:after="0" w:line="240" w:lineRule="auto"/>
            </w:pPr>
            <w:r>
              <w:rPr>
                <w:sz w:val="18"/>
              </w:rPr>
              <w:t>323</w:t>
            </w:r>
          </w:p>
        </w:tc>
        <w:tc>
          <w:tcPr>
            <w:tcW w:w="1860" w:type="dxa"/>
            <w:tcMar>
              <w:top w:w="0" w:type="dxa"/>
              <w:bottom w:w="0" w:type="dxa"/>
            </w:tcMar>
            <w:vAlign w:val="center"/>
          </w:tcPr>
          <w:p w14:paraId="39AD0033" w14:textId="77777777" w:rsidR="00BA3E87" w:rsidRDefault="000B2BF4">
            <w:pPr>
              <w:keepNext/>
              <w:keepLines/>
              <w:spacing w:after="0" w:line="240" w:lineRule="auto"/>
              <w:jc w:val="right"/>
            </w:pPr>
            <w:r>
              <w:rPr>
                <w:sz w:val="18"/>
              </w:rPr>
              <w:t>10.043.918,95</w:t>
            </w:r>
          </w:p>
        </w:tc>
        <w:tc>
          <w:tcPr>
            <w:tcW w:w="1860" w:type="dxa"/>
            <w:tcMar>
              <w:top w:w="0" w:type="dxa"/>
              <w:bottom w:w="0" w:type="dxa"/>
            </w:tcMar>
            <w:vAlign w:val="center"/>
          </w:tcPr>
          <w:p w14:paraId="3CED7C6C" w14:textId="77777777" w:rsidR="00BA3E87" w:rsidRDefault="000B2BF4">
            <w:pPr>
              <w:keepNext/>
              <w:keepLines/>
              <w:spacing w:after="0" w:line="240" w:lineRule="auto"/>
              <w:jc w:val="right"/>
            </w:pPr>
            <w:r>
              <w:rPr>
                <w:sz w:val="18"/>
              </w:rPr>
              <w:t>13.151.115,78</w:t>
            </w:r>
          </w:p>
        </w:tc>
        <w:tc>
          <w:tcPr>
            <w:tcW w:w="700" w:type="dxa"/>
            <w:tcMar>
              <w:top w:w="0" w:type="dxa"/>
              <w:bottom w:w="0" w:type="dxa"/>
            </w:tcMar>
            <w:vAlign w:val="center"/>
          </w:tcPr>
          <w:p w14:paraId="7DCB082F" w14:textId="77777777" w:rsidR="00BA3E87" w:rsidRDefault="000B2BF4">
            <w:pPr>
              <w:keepNext/>
              <w:keepLines/>
              <w:spacing w:after="0" w:line="240" w:lineRule="auto"/>
              <w:jc w:val="right"/>
            </w:pPr>
            <w:r>
              <w:rPr>
                <w:sz w:val="18"/>
              </w:rPr>
              <w:t>130,9</w:t>
            </w:r>
          </w:p>
        </w:tc>
      </w:tr>
    </w:tbl>
    <w:p w14:paraId="09B4FAC0" w14:textId="77777777" w:rsidR="00BA3E87" w:rsidRDefault="00BA3E87">
      <w:pPr>
        <w:spacing w:after="0"/>
      </w:pPr>
    </w:p>
    <w:p w14:paraId="7F0459E8" w14:textId="77777777" w:rsidR="00BA3E87" w:rsidRDefault="000B2BF4">
      <w:pPr>
        <w:jc w:val="both"/>
      </w:pPr>
      <w:r>
        <w:t>Najveći porast rashoda za usluge vidljiv je na kategoriji najamnine i zakupnine, a djelomično je posljedica rasta iznosa najamnina za školske objekte izgrađene po modelu JPP, a uslijed primjene ugovorenih korektivnih faktora u obračunu istih po uvođenju eura kao službene valute.  </w:t>
      </w:r>
      <w:r>
        <w:br/>
      </w:r>
      <w:r>
        <w:lastRenderedPageBreak/>
        <w:t>Intelektualne i osobne usluge u izvještajnom razdoblju tekuće godine realizirane su u većem iznosu djelomice zbog provođenja EU projekata Izgradnja Regionalnog centra civilne zaštite (299.577,81 eura), Rail4Regions (27.607,16 eura) i Socijalni plan Varaždinske županije 2024.-2026. (5.100,00 eura). Ujedno, u tekućem izvještajnom razdoblju evidentirani su troškovi vezani uz projektni natječaj za izradu idejnog rješenja Interpretacijskog centra Špilja Vindija (102.488,25 eura).</w:t>
      </w:r>
    </w:p>
    <w:p w14:paraId="64FA2864" w14:textId="77777777" w:rsidR="00BA3E87" w:rsidRDefault="00BA3E87"/>
    <w:p w14:paraId="6BEC8221" w14:textId="77777777" w:rsidR="00BA3E87" w:rsidRDefault="000B2BF4">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64479560" w14:textId="77777777">
        <w:trPr>
          <w:cantSplit/>
        </w:trPr>
        <w:tc>
          <w:tcPr>
            <w:tcW w:w="700" w:type="dxa"/>
            <w:shd w:val="clear" w:color="auto" w:fill="E7F0F9"/>
            <w:tcMar>
              <w:top w:w="0" w:type="dxa"/>
              <w:bottom w:w="0" w:type="dxa"/>
            </w:tcMar>
            <w:vAlign w:val="center"/>
          </w:tcPr>
          <w:p w14:paraId="6B492B37"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0BC74D"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E9CB95"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3401A7"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301425"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81BD4A" w14:textId="77777777" w:rsidR="00BA3E87" w:rsidRDefault="000B2BF4">
            <w:pPr>
              <w:keepNext/>
              <w:keepLines/>
              <w:spacing w:after="0" w:line="240" w:lineRule="auto"/>
              <w:jc w:val="center"/>
            </w:pPr>
            <w:r>
              <w:rPr>
                <w:b/>
                <w:sz w:val="18"/>
              </w:rPr>
              <w:t>Indeks (%)</w:t>
            </w:r>
          </w:p>
        </w:tc>
      </w:tr>
      <w:tr w:rsidR="00BA3E87" w14:paraId="2832B30B" w14:textId="77777777">
        <w:trPr>
          <w:cantSplit/>
          <w:trHeight w:val="560"/>
        </w:trPr>
        <w:tc>
          <w:tcPr>
            <w:tcW w:w="700" w:type="dxa"/>
            <w:tcMar>
              <w:top w:w="0" w:type="dxa"/>
              <w:bottom w:w="0" w:type="dxa"/>
            </w:tcMar>
            <w:vAlign w:val="center"/>
          </w:tcPr>
          <w:p w14:paraId="293A6762" w14:textId="77777777" w:rsidR="00BA3E87" w:rsidRDefault="000B2BF4">
            <w:pPr>
              <w:keepNext/>
              <w:keepLines/>
              <w:spacing w:after="0" w:line="240" w:lineRule="auto"/>
            </w:pPr>
            <w:r>
              <w:rPr>
                <w:sz w:val="18"/>
              </w:rPr>
              <w:t>329</w:t>
            </w:r>
          </w:p>
        </w:tc>
        <w:tc>
          <w:tcPr>
            <w:tcW w:w="3180" w:type="dxa"/>
            <w:tcMar>
              <w:top w:w="0" w:type="dxa"/>
              <w:bottom w:w="0" w:type="dxa"/>
            </w:tcMar>
            <w:vAlign w:val="center"/>
          </w:tcPr>
          <w:p w14:paraId="409CD678" w14:textId="77777777" w:rsidR="00BA3E87" w:rsidRDefault="000B2BF4">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5BDC9874" w14:textId="77777777" w:rsidR="00BA3E87" w:rsidRDefault="000B2BF4">
            <w:pPr>
              <w:keepNext/>
              <w:keepLines/>
              <w:spacing w:after="0" w:line="240" w:lineRule="auto"/>
            </w:pPr>
            <w:r>
              <w:rPr>
                <w:sz w:val="18"/>
              </w:rPr>
              <w:t>329</w:t>
            </w:r>
          </w:p>
        </w:tc>
        <w:tc>
          <w:tcPr>
            <w:tcW w:w="1860" w:type="dxa"/>
            <w:tcMar>
              <w:top w:w="0" w:type="dxa"/>
              <w:bottom w:w="0" w:type="dxa"/>
            </w:tcMar>
            <w:vAlign w:val="center"/>
          </w:tcPr>
          <w:p w14:paraId="38D17255" w14:textId="77777777" w:rsidR="00BA3E87" w:rsidRDefault="000B2BF4">
            <w:pPr>
              <w:keepNext/>
              <w:keepLines/>
              <w:spacing w:after="0" w:line="240" w:lineRule="auto"/>
              <w:jc w:val="right"/>
            </w:pPr>
            <w:r>
              <w:rPr>
                <w:sz w:val="18"/>
              </w:rPr>
              <w:t>357.044,29</w:t>
            </w:r>
          </w:p>
        </w:tc>
        <w:tc>
          <w:tcPr>
            <w:tcW w:w="1860" w:type="dxa"/>
            <w:tcMar>
              <w:top w:w="0" w:type="dxa"/>
              <w:bottom w:w="0" w:type="dxa"/>
            </w:tcMar>
            <w:vAlign w:val="center"/>
          </w:tcPr>
          <w:p w14:paraId="561BF8B3" w14:textId="77777777" w:rsidR="00BA3E87" w:rsidRDefault="000B2BF4">
            <w:pPr>
              <w:keepNext/>
              <w:keepLines/>
              <w:spacing w:after="0" w:line="240" w:lineRule="auto"/>
              <w:jc w:val="right"/>
            </w:pPr>
            <w:r>
              <w:rPr>
                <w:sz w:val="18"/>
              </w:rPr>
              <w:t>913.377,99</w:t>
            </w:r>
          </w:p>
        </w:tc>
        <w:tc>
          <w:tcPr>
            <w:tcW w:w="700" w:type="dxa"/>
            <w:tcMar>
              <w:top w:w="0" w:type="dxa"/>
              <w:bottom w:w="0" w:type="dxa"/>
            </w:tcMar>
            <w:vAlign w:val="center"/>
          </w:tcPr>
          <w:p w14:paraId="0A20D25B" w14:textId="77777777" w:rsidR="00BA3E87" w:rsidRDefault="000B2BF4">
            <w:pPr>
              <w:keepNext/>
              <w:keepLines/>
              <w:spacing w:after="0" w:line="240" w:lineRule="auto"/>
              <w:jc w:val="right"/>
            </w:pPr>
            <w:r>
              <w:rPr>
                <w:sz w:val="18"/>
              </w:rPr>
              <w:t>255,8</w:t>
            </w:r>
          </w:p>
        </w:tc>
      </w:tr>
    </w:tbl>
    <w:p w14:paraId="3C0B7980" w14:textId="77777777" w:rsidR="00BA3E87" w:rsidRDefault="00BA3E87">
      <w:pPr>
        <w:spacing w:after="0"/>
      </w:pPr>
    </w:p>
    <w:p w14:paraId="1F40E870" w14:textId="77777777" w:rsidR="00BA3E87" w:rsidRDefault="000B2BF4">
      <w:pPr>
        <w:jc w:val="both"/>
      </w:pPr>
      <w:r>
        <w:t>Naknade za rad predstavničkih i izvršnih tijela, povjerenstava i slično, u izvještajnom razdoblju tekuće godine realizirani su u znatno većem iznosu u odnosu izvještajno razdoblje prethodne godine zbog provedbe lokalnih izbora i time povezanih troškova za naknade članovima biračkih odbora, izbornih povjerenstava, kućepazitelja te stručnih timova (utrošeno je 563.633,37 eura).</w:t>
      </w:r>
    </w:p>
    <w:p w14:paraId="1821C85D" w14:textId="77777777" w:rsidR="00BA3E87" w:rsidRDefault="00BA3E87"/>
    <w:p w14:paraId="631049B0" w14:textId="77777777" w:rsidR="00BA3E87" w:rsidRDefault="000B2BF4">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2A3B05C5" w14:textId="77777777">
        <w:trPr>
          <w:cantSplit/>
        </w:trPr>
        <w:tc>
          <w:tcPr>
            <w:tcW w:w="700" w:type="dxa"/>
            <w:shd w:val="clear" w:color="auto" w:fill="E7F0F9"/>
            <w:tcMar>
              <w:top w:w="0" w:type="dxa"/>
              <w:bottom w:w="0" w:type="dxa"/>
            </w:tcMar>
            <w:vAlign w:val="center"/>
          </w:tcPr>
          <w:p w14:paraId="02E7BDBB"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666BC7"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4177A7"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9821A6"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4FD14B"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1D0AFB" w14:textId="77777777" w:rsidR="00BA3E87" w:rsidRDefault="000B2BF4">
            <w:pPr>
              <w:keepNext/>
              <w:keepLines/>
              <w:spacing w:after="0" w:line="240" w:lineRule="auto"/>
              <w:jc w:val="center"/>
            </w:pPr>
            <w:r>
              <w:rPr>
                <w:b/>
                <w:sz w:val="18"/>
              </w:rPr>
              <w:t>Indeks (%)</w:t>
            </w:r>
          </w:p>
        </w:tc>
      </w:tr>
      <w:tr w:rsidR="00BA3E87" w14:paraId="08552F51" w14:textId="77777777">
        <w:trPr>
          <w:cantSplit/>
          <w:trHeight w:val="560"/>
        </w:trPr>
        <w:tc>
          <w:tcPr>
            <w:tcW w:w="700" w:type="dxa"/>
            <w:tcMar>
              <w:top w:w="0" w:type="dxa"/>
              <w:bottom w:w="0" w:type="dxa"/>
            </w:tcMar>
            <w:vAlign w:val="center"/>
          </w:tcPr>
          <w:p w14:paraId="35590E17" w14:textId="77777777" w:rsidR="00BA3E87" w:rsidRDefault="000B2BF4">
            <w:pPr>
              <w:keepNext/>
              <w:keepLines/>
              <w:spacing w:after="0" w:line="240" w:lineRule="auto"/>
            </w:pPr>
            <w:r>
              <w:rPr>
                <w:sz w:val="18"/>
              </w:rPr>
              <w:t>343</w:t>
            </w:r>
          </w:p>
        </w:tc>
        <w:tc>
          <w:tcPr>
            <w:tcW w:w="3180" w:type="dxa"/>
            <w:tcMar>
              <w:top w:w="0" w:type="dxa"/>
              <w:bottom w:w="0" w:type="dxa"/>
            </w:tcMar>
            <w:vAlign w:val="center"/>
          </w:tcPr>
          <w:p w14:paraId="347E52AF" w14:textId="77777777" w:rsidR="00BA3E87" w:rsidRDefault="000B2BF4">
            <w:pPr>
              <w:keepNext/>
              <w:keepLines/>
              <w:spacing w:after="0" w:line="240" w:lineRule="auto"/>
            </w:pPr>
            <w:r>
              <w:rPr>
                <w:sz w:val="18"/>
              </w:rPr>
              <w:t>Ostali financijski rashodi (šifre 3431 do 3434)</w:t>
            </w:r>
          </w:p>
        </w:tc>
        <w:tc>
          <w:tcPr>
            <w:tcW w:w="700" w:type="dxa"/>
            <w:tcMar>
              <w:top w:w="0" w:type="dxa"/>
              <w:bottom w:w="0" w:type="dxa"/>
            </w:tcMar>
            <w:vAlign w:val="center"/>
          </w:tcPr>
          <w:p w14:paraId="6D36E49B" w14:textId="77777777" w:rsidR="00BA3E87" w:rsidRDefault="000B2BF4">
            <w:pPr>
              <w:keepNext/>
              <w:keepLines/>
              <w:spacing w:after="0" w:line="240" w:lineRule="auto"/>
            </w:pPr>
            <w:r>
              <w:rPr>
                <w:sz w:val="18"/>
              </w:rPr>
              <w:t>343</w:t>
            </w:r>
          </w:p>
        </w:tc>
        <w:tc>
          <w:tcPr>
            <w:tcW w:w="1860" w:type="dxa"/>
            <w:tcMar>
              <w:top w:w="0" w:type="dxa"/>
              <w:bottom w:w="0" w:type="dxa"/>
            </w:tcMar>
            <w:vAlign w:val="center"/>
          </w:tcPr>
          <w:p w14:paraId="6DECF0C3" w14:textId="77777777" w:rsidR="00BA3E87" w:rsidRDefault="000B2BF4">
            <w:pPr>
              <w:keepNext/>
              <w:keepLines/>
              <w:spacing w:after="0" w:line="240" w:lineRule="auto"/>
              <w:jc w:val="right"/>
            </w:pPr>
            <w:r>
              <w:rPr>
                <w:sz w:val="18"/>
              </w:rPr>
              <w:t>13.613,33</w:t>
            </w:r>
          </w:p>
        </w:tc>
        <w:tc>
          <w:tcPr>
            <w:tcW w:w="1860" w:type="dxa"/>
            <w:tcMar>
              <w:top w:w="0" w:type="dxa"/>
              <w:bottom w:w="0" w:type="dxa"/>
            </w:tcMar>
            <w:vAlign w:val="center"/>
          </w:tcPr>
          <w:p w14:paraId="35DD5CC1" w14:textId="77777777" w:rsidR="00BA3E87" w:rsidRDefault="000B2BF4">
            <w:pPr>
              <w:keepNext/>
              <w:keepLines/>
              <w:spacing w:after="0" w:line="240" w:lineRule="auto"/>
              <w:jc w:val="right"/>
            </w:pPr>
            <w:r>
              <w:rPr>
                <w:sz w:val="18"/>
              </w:rPr>
              <w:t>26.228,17</w:t>
            </w:r>
          </w:p>
        </w:tc>
        <w:tc>
          <w:tcPr>
            <w:tcW w:w="700" w:type="dxa"/>
            <w:tcMar>
              <w:top w:w="0" w:type="dxa"/>
              <w:bottom w:w="0" w:type="dxa"/>
            </w:tcMar>
            <w:vAlign w:val="center"/>
          </w:tcPr>
          <w:p w14:paraId="083C31F5" w14:textId="77777777" w:rsidR="00BA3E87" w:rsidRDefault="000B2BF4">
            <w:pPr>
              <w:keepNext/>
              <w:keepLines/>
              <w:spacing w:after="0" w:line="240" w:lineRule="auto"/>
              <w:jc w:val="right"/>
            </w:pPr>
            <w:r>
              <w:rPr>
                <w:sz w:val="18"/>
              </w:rPr>
              <w:t>192,7</w:t>
            </w:r>
          </w:p>
        </w:tc>
      </w:tr>
    </w:tbl>
    <w:p w14:paraId="4704E974" w14:textId="77777777" w:rsidR="00BA3E87" w:rsidRDefault="00BA3E87">
      <w:pPr>
        <w:spacing w:after="0"/>
      </w:pPr>
    </w:p>
    <w:p w14:paraId="227CD55E" w14:textId="77777777" w:rsidR="00BA3E87" w:rsidRDefault="000B2BF4">
      <w:pPr>
        <w:jc w:val="both"/>
      </w:pPr>
      <w:r>
        <w:t>Porast rashoda za bankarske usluge i usluge platnog prometa u izvještajnom razdoblju tekuće godine posljedica je znatno većeg broja platnih naloga provedenih sa računa Varaždinske županije zbog izravnog podmirivanja obveza RKP korisnika Županije u procesu uvođenja jedinstvenog računa Riznice.</w:t>
      </w:r>
    </w:p>
    <w:p w14:paraId="2A1242E7" w14:textId="77777777" w:rsidR="00BA3E87" w:rsidRDefault="00BA3E87"/>
    <w:p w14:paraId="199D63E6" w14:textId="77777777" w:rsidR="00BA3E87" w:rsidRDefault="000B2BF4">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3EA1698C" w14:textId="77777777">
        <w:trPr>
          <w:cantSplit/>
        </w:trPr>
        <w:tc>
          <w:tcPr>
            <w:tcW w:w="700" w:type="dxa"/>
            <w:shd w:val="clear" w:color="auto" w:fill="E7F0F9"/>
            <w:tcMar>
              <w:top w:w="0" w:type="dxa"/>
              <w:bottom w:w="0" w:type="dxa"/>
            </w:tcMar>
            <w:vAlign w:val="center"/>
          </w:tcPr>
          <w:p w14:paraId="460E2913"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4A926C"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E00EE0"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A798D1"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9E63E9"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6BE79D" w14:textId="77777777" w:rsidR="00BA3E87" w:rsidRDefault="000B2BF4">
            <w:pPr>
              <w:keepNext/>
              <w:keepLines/>
              <w:spacing w:after="0" w:line="240" w:lineRule="auto"/>
              <w:jc w:val="center"/>
            </w:pPr>
            <w:r>
              <w:rPr>
                <w:b/>
                <w:sz w:val="18"/>
              </w:rPr>
              <w:t>Indeks (%)</w:t>
            </w:r>
          </w:p>
        </w:tc>
      </w:tr>
      <w:tr w:rsidR="00BA3E87" w14:paraId="2FD50455" w14:textId="77777777">
        <w:trPr>
          <w:cantSplit/>
          <w:trHeight w:val="560"/>
        </w:trPr>
        <w:tc>
          <w:tcPr>
            <w:tcW w:w="700" w:type="dxa"/>
            <w:tcMar>
              <w:top w:w="0" w:type="dxa"/>
              <w:bottom w:w="0" w:type="dxa"/>
            </w:tcMar>
            <w:vAlign w:val="center"/>
          </w:tcPr>
          <w:p w14:paraId="515AEED5" w14:textId="77777777" w:rsidR="00BA3E87" w:rsidRDefault="000B2BF4">
            <w:pPr>
              <w:keepNext/>
              <w:keepLines/>
              <w:spacing w:after="0" w:line="240" w:lineRule="auto"/>
            </w:pPr>
            <w:r>
              <w:rPr>
                <w:sz w:val="18"/>
              </w:rPr>
              <w:t>351</w:t>
            </w:r>
          </w:p>
        </w:tc>
        <w:tc>
          <w:tcPr>
            <w:tcW w:w="3180" w:type="dxa"/>
            <w:tcMar>
              <w:top w:w="0" w:type="dxa"/>
              <w:bottom w:w="0" w:type="dxa"/>
            </w:tcMar>
            <w:vAlign w:val="center"/>
          </w:tcPr>
          <w:p w14:paraId="28894C74" w14:textId="77777777" w:rsidR="00BA3E87" w:rsidRDefault="000B2BF4">
            <w:pPr>
              <w:keepNext/>
              <w:keepLines/>
              <w:spacing w:after="0" w:line="240" w:lineRule="auto"/>
            </w:pPr>
            <w:r>
              <w:rPr>
                <w:sz w:val="18"/>
              </w:rPr>
              <w:t>Subvencije kreditnim i ostalim financijskim institucijama i trgovačkim društvima u javnom sektoru (šifre 3511+3512)</w:t>
            </w:r>
          </w:p>
        </w:tc>
        <w:tc>
          <w:tcPr>
            <w:tcW w:w="700" w:type="dxa"/>
            <w:tcMar>
              <w:top w:w="0" w:type="dxa"/>
              <w:bottom w:w="0" w:type="dxa"/>
            </w:tcMar>
            <w:vAlign w:val="center"/>
          </w:tcPr>
          <w:p w14:paraId="3646C746" w14:textId="77777777" w:rsidR="00BA3E87" w:rsidRDefault="000B2BF4">
            <w:pPr>
              <w:keepNext/>
              <w:keepLines/>
              <w:spacing w:after="0" w:line="240" w:lineRule="auto"/>
            </w:pPr>
            <w:r>
              <w:rPr>
                <w:sz w:val="18"/>
              </w:rPr>
              <w:t>351</w:t>
            </w:r>
          </w:p>
        </w:tc>
        <w:tc>
          <w:tcPr>
            <w:tcW w:w="1860" w:type="dxa"/>
            <w:tcMar>
              <w:top w:w="0" w:type="dxa"/>
              <w:bottom w:w="0" w:type="dxa"/>
            </w:tcMar>
            <w:vAlign w:val="center"/>
          </w:tcPr>
          <w:p w14:paraId="545786B2" w14:textId="77777777" w:rsidR="00BA3E87" w:rsidRDefault="000B2BF4">
            <w:pPr>
              <w:keepNext/>
              <w:keepLines/>
              <w:spacing w:after="0" w:line="240" w:lineRule="auto"/>
              <w:jc w:val="right"/>
            </w:pPr>
            <w:r>
              <w:rPr>
                <w:sz w:val="18"/>
              </w:rPr>
              <w:t>189.083,01</w:t>
            </w:r>
          </w:p>
        </w:tc>
        <w:tc>
          <w:tcPr>
            <w:tcW w:w="1860" w:type="dxa"/>
            <w:tcMar>
              <w:top w:w="0" w:type="dxa"/>
              <w:bottom w:w="0" w:type="dxa"/>
            </w:tcMar>
            <w:vAlign w:val="center"/>
          </w:tcPr>
          <w:p w14:paraId="3CD73255" w14:textId="77777777" w:rsidR="00BA3E87" w:rsidRDefault="000B2BF4">
            <w:pPr>
              <w:keepNext/>
              <w:keepLines/>
              <w:spacing w:after="0" w:line="240" w:lineRule="auto"/>
              <w:jc w:val="right"/>
            </w:pPr>
            <w:r>
              <w:rPr>
                <w:sz w:val="18"/>
              </w:rPr>
              <w:t>41.681,17</w:t>
            </w:r>
          </w:p>
        </w:tc>
        <w:tc>
          <w:tcPr>
            <w:tcW w:w="700" w:type="dxa"/>
            <w:tcMar>
              <w:top w:w="0" w:type="dxa"/>
              <w:bottom w:w="0" w:type="dxa"/>
            </w:tcMar>
            <w:vAlign w:val="center"/>
          </w:tcPr>
          <w:p w14:paraId="26B2AE4A" w14:textId="77777777" w:rsidR="00BA3E87" w:rsidRDefault="000B2BF4">
            <w:pPr>
              <w:keepNext/>
              <w:keepLines/>
              <w:spacing w:after="0" w:line="240" w:lineRule="auto"/>
              <w:jc w:val="right"/>
            </w:pPr>
            <w:r>
              <w:rPr>
                <w:sz w:val="18"/>
              </w:rPr>
              <w:t>22,0</w:t>
            </w:r>
          </w:p>
        </w:tc>
      </w:tr>
    </w:tbl>
    <w:p w14:paraId="1A13F43E" w14:textId="77777777" w:rsidR="00BA3E87" w:rsidRDefault="00BA3E87">
      <w:pPr>
        <w:spacing w:after="0"/>
      </w:pPr>
    </w:p>
    <w:p w14:paraId="0A8DAD51" w14:textId="77777777" w:rsidR="00BA3E87" w:rsidRDefault="000B2BF4">
      <w:pPr>
        <w:jc w:val="both"/>
      </w:pPr>
      <w:r>
        <w:t>Evidentirane subvencije u oba izvještajna razdoblja dane su trgovačkom društvu Piškornica d.o.o. za troškove poslovanja regionalnog centra za gospodarenje otpadom.</w:t>
      </w:r>
    </w:p>
    <w:p w14:paraId="783EB824" w14:textId="77777777" w:rsidR="00BA3E87" w:rsidRDefault="00BA3E87"/>
    <w:p w14:paraId="192B345E" w14:textId="77777777" w:rsidR="00BA3E87" w:rsidRDefault="000B2BF4">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0A1C0A77" w14:textId="77777777">
        <w:trPr>
          <w:cantSplit/>
        </w:trPr>
        <w:tc>
          <w:tcPr>
            <w:tcW w:w="700" w:type="dxa"/>
            <w:shd w:val="clear" w:color="auto" w:fill="E7F0F9"/>
            <w:tcMar>
              <w:top w:w="0" w:type="dxa"/>
              <w:bottom w:w="0" w:type="dxa"/>
            </w:tcMar>
            <w:vAlign w:val="center"/>
          </w:tcPr>
          <w:p w14:paraId="2984B438"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02996A"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C465E0"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853192"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CB76CC"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9931E6" w14:textId="77777777" w:rsidR="00BA3E87" w:rsidRDefault="000B2BF4">
            <w:pPr>
              <w:keepNext/>
              <w:keepLines/>
              <w:spacing w:after="0" w:line="240" w:lineRule="auto"/>
              <w:jc w:val="center"/>
            </w:pPr>
            <w:r>
              <w:rPr>
                <w:b/>
                <w:sz w:val="18"/>
              </w:rPr>
              <w:t>Indeks (%)</w:t>
            </w:r>
          </w:p>
        </w:tc>
      </w:tr>
      <w:tr w:rsidR="00BA3E87" w14:paraId="43770084" w14:textId="77777777">
        <w:trPr>
          <w:cantSplit/>
          <w:trHeight w:val="560"/>
        </w:trPr>
        <w:tc>
          <w:tcPr>
            <w:tcW w:w="700" w:type="dxa"/>
            <w:tcMar>
              <w:top w:w="0" w:type="dxa"/>
              <w:bottom w:w="0" w:type="dxa"/>
            </w:tcMar>
            <w:vAlign w:val="center"/>
          </w:tcPr>
          <w:p w14:paraId="70CA3CC3" w14:textId="77777777" w:rsidR="00BA3E87" w:rsidRDefault="000B2BF4">
            <w:pPr>
              <w:keepNext/>
              <w:keepLines/>
              <w:spacing w:after="0" w:line="240" w:lineRule="auto"/>
            </w:pPr>
            <w:r>
              <w:rPr>
                <w:sz w:val="18"/>
              </w:rPr>
              <w:t>352</w:t>
            </w:r>
          </w:p>
        </w:tc>
        <w:tc>
          <w:tcPr>
            <w:tcW w:w="3180" w:type="dxa"/>
            <w:tcMar>
              <w:top w:w="0" w:type="dxa"/>
              <w:bottom w:w="0" w:type="dxa"/>
            </w:tcMar>
            <w:vAlign w:val="center"/>
          </w:tcPr>
          <w:p w14:paraId="1989F443" w14:textId="77777777" w:rsidR="00BA3E87" w:rsidRDefault="000B2BF4">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5C6C65B6" w14:textId="77777777" w:rsidR="00BA3E87" w:rsidRDefault="000B2BF4">
            <w:pPr>
              <w:keepNext/>
              <w:keepLines/>
              <w:spacing w:after="0" w:line="240" w:lineRule="auto"/>
            </w:pPr>
            <w:r>
              <w:rPr>
                <w:sz w:val="18"/>
              </w:rPr>
              <w:t>352</w:t>
            </w:r>
          </w:p>
        </w:tc>
        <w:tc>
          <w:tcPr>
            <w:tcW w:w="1860" w:type="dxa"/>
            <w:tcMar>
              <w:top w:w="0" w:type="dxa"/>
              <w:bottom w:w="0" w:type="dxa"/>
            </w:tcMar>
            <w:vAlign w:val="center"/>
          </w:tcPr>
          <w:p w14:paraId="4586D9DF" w14:textId="77777777" w:rsidR="00BA3E87" w:rsidRDefault="000B2BF4">
            <w:pPr>
              <w:keepNext/>
              <w:keepLines/>
              <w:spacing w:after="0" w:line="240" w:lineRule="auto"/>
              <w:jc w:val="right"/>
            </w:pPr>
            <w:r>
              <w:rPr>
                <w:sz w:val="18"/>
              </w:rPr>
              <w:t>955.513,88</w:t>
            </w:r>
          </w:p>
        </w:tc>
        <w:tc>
          <w:tcPr>
            <w:tcW w:w="1860" w:type="dxa"/>
            <w:tcMar>
              <w:top w:w="0" w:type="dxa"/>
              <w:bottom w:w="0" w:type="dxa"/>
            </w:tcMar>
            <w:vAlign w:val="center"/>
          </w:tcPr>
          <w:p w14:paraId="61612949" w14:textId="77777777" w:rsidR="00BA3E87" w:rsidRDefault="000B2BF4">
            <w:pPr>
              <w:keepNext/>
              <w:keepLines/>
              <w:spacing w:after="0" w:line="240" w:lineRule="auto"/>
              <w:jc w:val="right"/>
            </w:pPr>
            <w:r>
              <w:rPr>
                <w:sz w:val="18"/>
              </w:rPr>
              <w:t>1.319.802,58</w:t>
            </w:r>
          </w:p>
        </w:tc>
        <w:tc>
          <w:tcPr>
            <w:tcW w:w="700" w:type="dxa"/>
            <w:tcMar>
              <w:top w:w="0" w:type="dxa"/>
              <w:bottom w:w="0" w:type="dxa"/>
            </w:tcMar>
            <w:vAlign w:val="center"/>
          </w:tcPr>
          <w:p w14:paraId="6779B739" w14:textId="77777777" w:rsidR="00BA3E87" w:rsidRDefault="000B2BF4">
            <w:pPr>
              <w:keepNext/>
              <w:keepLines/>
              <w:spacing w:after="0" w:line="240" w:lineRule="auto"/>
              <w:jc w:val="right"/>
            </w:pPr>
            <w:r>
              <w:rPr>
                <w:sz w:val="18"/>
              </w:rPr>
              <w:t>138,1</w:t>
            </w:r>
          </w:p>
        </w:tc>
      </w:tr>
    </w:tbl>
    <w:p w14:paraId="475B96A1" w14:textId="77777777" w:rsidR="00BA3E87" w:rsidRDefault="00BA3E87">
      <w:pPr>
        <w:spacing w:after="0"/>
      </w:pPr>
    </w:p>
    <w:p w14:paraId="1FAE6DB1" w14:textId="77777777" w:rsidR="00BA3E87" w:rsidRDefault="000B2BF4">
      <w:pPr>
        <w:jc w:val="both"/>
      </w:pPr>
      <w:r>
        <w:t>Ova skupina rashoda bilježi povećanje od 38,1%, a uslijed znatnog povećanja osiguranih proračunskih sredstava za subvencioniranje programa u poljoprivredi.</w:t>
      </w:r>
    </w:p>
    <w:p w14:paraId="01B2D28E" w14:textId="77777777" w:rsidR="00BA3E87" w:rsidRDefault="00BA3E87"/>
    <w:p w14:paraId="44444E5A" w14:textId="77777777" w:rsidR="00BA3E87" w:rsidRDefault="000B2BF4">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4B16A655" w14:textId="77777777">
        <w:trPr>
          <w:cantSplit/>
        </w:trPr>
        <w:tc>
          <w:tcPr>
            <w:tcW w:w="700" w:type="dxa"/>
            <w:shd w:val="clear" w:color="auto" w:fill="E7F0F9"/>
            <w:tcMar>
              <w:top w:w="0" w:type="dxa"/>
              <w:bottom w:w="0" w:type="dxa"/>
            </w:tcMar>
            <w:vAlign w:val="center"/>
          </w:tcPr>
          <w:p w14:paraId="0B7EB874"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76F7E2"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10665A"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336EF2"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343B77"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DA2052" w14:textId="77777777" w:rsidR="00BA3E87" w:rsidRDefault="000B2BF4">
            <w:pPr>
              <w:keepNext/>
              <w:keepLines/>
              <w:spacing w:after="0" w:line="240" w:lineRule="auto"/>
              <w:jc w:val="center"/>
            </w:pPr>
            <w:r>
              <w:rPr>
                <w:b/>
                <w:sz w:val="18"/>
              </w:rPr>
              <w:t>Indeks (%)</w:t>
            </w:r>
          </w:p>
        </w:tc>
      </w:tr>
      <w:tr w:rsidR="00BA3E87" w14:paraId="42D9C85D" w14:textId="77777777">
        <w:trPr>
          <w:cantSplit/>
          <w:trHeight w:val="560"/>
        </w:trPr>
        <w:tc>
          <w:tcPr>
            <w:tcW w:w="700" w:type="dxa"/>
            <w:tcMar>
              <w:top w:w="0" w:type="dxa"/>
              <w:bottom w:w="0" w:type="dxa"/>
            </w:tcMar>
            <w:vAlign w:val="center"/>
          </w:tcPr>
          <w:p w14:paraId="3EF7DBBA" w14:textId="77777777" w:rsidR="00BA3E87" w:rsidRDefault="000B2BF4">
            <w:pPr>
              <w:keepNext/>
              <w:keepLines/>
              <w:spacing w:after="0" w:line="240" w:lineRule="auto"/>
            </w:pPr>
            <w:r>
              <w:rPr>
                <w:sz w:val="18"/>
              </w:rPr>
              <w:t>361</w:t>
            </w:r>
          </w:p>
        </w:tc>
        <w:tc>
          <w:tcPr>
            <w:tcW w:w="3180" w:type="dxa"/>
            <w:tcMar>
              <w:top w:w="0" w:type="dxa"/>
              <w:bottom w:w="0" w:type="dxa"/>
            </w:tcMar>
            <w:vAlign w:val="center"/>
          </w:tcPr>
          <w:p w14:paraId="45B55380" w14:textId="77777777" w:rsidR="00BA3E87" w:rsidRDefault="000B2BF4">
            <w:pPr>
              <w:keepNext/>
              <w:keepLines/>
              <w:spacing w:after="0" w:line="240" w:lineRule="auto"/>
            </w:pPr>
            <w:r>
              <w:rPr>
                <w:sz w:val="18"/>
              </w:rPr>
              <w:t>Pomoći inozemnim vladama (šifre 3611+3612)</w:t>
            </w:r>
          </w:p>
        </w:tc>
        <w:tc>
          <w:tcPr>
            <w:tcW w:w="700" w:type="dxa"/>
            <w:tcMar>
              <w:top w:w="0" w:type="dxa"/>
              <w:bottom w:w="0" w:type="dxa"/>
            </w:tcMar>
            <w:vAlign w:val="center"/>
          </w:tcPr>
          <w:p w14:paraId="585122AD" w14:textId="77777777" w:rsidR="00BA3E87" w:rsidRDefault="000B2BF4">
            <w:pPr>
              <w:keepNext/>
              <w:keepLines/>
              <w:spacing w:after="0" w:line="240" w:lineRule="auto"/>
            </w:pPr>
            <w:r>
              <w:rPr>
                <w:sz w:val="18"/>
              </w:rPr>
              <w:t>361</w:t>
            </w:r>
          </w:p>
        </w:tc>
        <w:tc>
          <w:tcPr>
            <w:tcW w:w="1860" w:type="dxa"/>
            <w:tcMar>
              <w:top w:w="0" w:type="dxa"/>
              <w:bottom w:w="0" w:type="dxa"/>
            </w:tcMar>
            <w:vAlign w:val="center"/>
          </w:tcPr>
          <w:p w14:paraId="3BAC2422" w14:textId="77777777" w:rsidR="00BA3E87" w:rsidRDefault="000B2BF4">
            <w:pPr>
              <w:keepNext/>
              <w:keepLines/>
              <w:spacing w:after="0" w:line="240" w:lineRule="auto"/>
              <w:jc w:val="right"/>
            </w:pPr>
            <w:r>
              <w:rPr>
                <w:sz w:val="18"/>
              </w:rPr>
              <w:t>427.412,62</w:t>
            </w:r>
          </w:p>
        </w:tc>
        <w:tc>
          <w:tcPr>
            <w:tcW w:w="1860" w:type="dxa"/>
            <w:tcMar>
              <w:top w:w="0" w:type="dxa"/>
              <w:bottom w:w="0" w:type="dxa"/>
            </w:tcMar>
            <w:vAlign w:val="center"/>
          </w:tcPr>
          <w:p w14:paraId="55F30BA9" w14:textId="77777777" w:rsidR="00BA3E87" w:rsidRDefault="000B2BF4">
            <w:pPr>
              <w:keepNext/>
              <w:keepLines/>
              <w:spacing w:after="0" w:line="240" w:lineRule="auto"/>
              <w:jc w:val="right"/>
            </w:pPr>
            <w:r>
              <w:rPr>
                <w:sz w:val="18"/>
              </w:rPr>
              <w:t>0,00</w:t>
            </w:r>
          </w:p>
        </w:tc>
        <w:tc>
          <w:tcPr>
            <w:tcW w:w="700" w:type="dxa"/>
            <w:tcMar>
              <w:top w:w="0" w:type="dxa"/>
              <w:bottom w:w="0" w:type="dxa"/>
            </w:tcMar>
            <w:vAlign w:val="center"/>
          </w:tcPr>
          <w:p w14:paraId="68132E08" w14:textId="77777777" w:rsidR="00BA3E87" w:rsidRDefault="000B2BF4">
            <w:pPr>
              <w:keepNext/>
              <w:keepLines/>
              <w:spacing w:after="0" w:line="240" w:lineRule="auto"/>
              <w:jc w:val="right"/>
            </w:pPr>
            <w:r>
              <w:rPr>
                <w:sz w:val="18"/>
              </w:rPr>
              <w:t>0</w:t>
            </w:r>
          </w:p>
        </w:tc>
      </w:tr>
    </w:tbl>
    <w:p w14:paraId="37E8815C" w14:textId="77777777" w:rsidR="00BA3E87" w:rsidRDefault="00BA3E87">
      <w:pPr>
        <w:spacing w:after="0"/>
      </w:pPr>
    </w:p>
    <w:p w14:paraId="6DB77DA3" w14:textId="77777777" w:rsidR="00BA3E87" w:rsidRDefault="000B2BF4">
      <w:pPr>
        <w:jc w:val="both"/>
      </w:pPr>
      <w:r>
        <w:t>Tekuće pomoći inozemnim vladama iskazane u izvještajnom razdoblju prethodne godine u cijelosti se odnose na isplate partnerima na EU projektu AT@AT.CB.</w:t>
      </w:r>
    </w:p>
    <w:p w14:paraId="335BC08A" w14:textId="77777777" w:rsidR="00BA3E87" w:rsidRDefault="00BA3E87"/>
    <w:p w14:paraId="61F63E61" w14:textId="77777777" w:rsidR="00BA3E87" w:rsidRDefault="000B2BF4">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3B2B5CD8" w14:textId="77777777">
        <w:trPr>
          <w:cantSplit/>
        </w:trPr>
        <w:tc>
          <w:tcPr>
            <w:tcW w:w="700" w:type="dxa"/>
            <w:shd w:val="clear" w:color="auto" w:fill="E7F0F9"/>
            <w:tcMar>
              <w:top w:w="0" w:type="dxa"/>
              <w:bottom w:w="0" w:type="dxa"/>
            </w:tcMar>
            <w:vAlign w:val="center"/>
          </w:tcPr>
          <w:p w14:paraId="3EC3FDAF"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E7F25F"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4A1183"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8E90C1"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53FE80"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575A2E" w14:textId="77777777" w:rsidR="00BA3E87" w:rsidRDefault="000B2BF4">
            <w:pPr>
              <w:keepNext/>
              <w:keepLines/>
              <w:spacing w:after="0" w:line="240" w:lineRule="auto"/>
              <w:jc w:val="center"/>
            </w:pPr>
            <w:r>
              <w:rPr>
                <w:b/>
                <w:sz w:val="18"/>
              </w:rPr>
              <w:t>Indeks (%)</w:t>
            </w:r>
          </w:p>
        </w:tc>
      </w:tr>
      <w:tr w:rsidR="00BA3E87" w14:paraId="5AA14558" w14:textId="77777777">
        <w:trPr>
          <w:cantSplit/>
          <w:trHeight w:val="560"/>
        </w:trPr>
        <w:tc>
          <w:tcPr>
            <w:tcW w:w="700" w:type="dxa"/>
            <w:tcMar>
              <w:top w:w="0" w:type="dxa"/>
              <w:bottom w:w="0" w:type="dxa"/>
            </w:tcMar>
            <w:vAlign w:val="center"/>
          </w:tcPr>
          <w:p w14:paraId="0995A4E9" w14:textId="77777777" w:rsidR="00BA3E87" w:rsidRDefault="000B2BF4">
            <w:pPr>
              <w:keepNext/>
              <w:keepLines/>
              <w:spacing w:after="0" w:line="240" w:lineRule="auto"/>
            </w:pPr>
            <w:r>
              <w:rPr>
                <w:sz w:val="18"/>
              </w:rPr>
              <w:t>362</w:t>
            </w:r>
          </w:p>
        </w:tc>
        <w:tc>
          <w:tcPr>
            <w:tcW w:w="3180" w:type="dxa"/>
            <w:tcMar>
              <w:top w:w="0" w:type="dxa"/>
              <w:bottom w:w="0" w:type="dxa"/>
            </w:tcMar>
            <w:vAlign w:val="center"/>
          </w:tcPr>
          <w:p w14:paraId="4CE43B56" w14:textId="77777777" w:rsidR="00BA3E87" w:rsidRDefault="000B2BF4">
            <w:pPr>
              <w:keepNext/>
              <w:keepLines/>
              <w:spacing w:after="0" w:line="240" w:lineRule="auto"/>
            </w:pPr>
            <w:r>
              <w:rPr>
                <w:sz w:val="18"/>
              </w:rPr>
              <w:t>Pomoći međunarodnim organizacijama te institucijama i tijelima EU (šifre 3621+3622)</w:t>
            </w:r>
          </w:p>
        </w:tc>
        <w:tc>
          <w:tcPr>
            <w:tcW w:w="700" w:type="dxa"/>
            <w:tcMar>
              <w:top w:w="0" w:type="dxa"/>
              <w:bottom w:w="0" w:type="dxa"/>
            </w:tcMar>
            <w:vAlign w:val="center"/>
          </w:tcPr>
          <w:p w14:paraId="6AC53106" w14:textId="77777777" w:rsidR="00BA3E87" w:rsidRDefault="000B2BF4">
            <w:pPr>
              <w:keepNext/>
              <w:keepLines/>
              <w:spacing w:after="0" w:line="240" w:lineRule="auto"/>
            </w:pPr>
            <w:r>
              <w:rPr>
                <w:sz w:val="18"/>
              </w:rPr>
              <w:t>362</w:t>
            </w:r>
          </w:p>
        </w:tc>
        <w:tc>
          <w:tcPr>
            <w:tcW w:w="1860" w:type="dxa"/>
            <w:tcMar>
              <w:top w:w="0" w:type="dxa"/>
              <w:bottom w:w="0" w:type="dxa"/>
            </w:tcMar>
            <w:vAlign w:val="center"/>
          </w:tcPr>
          <w:p w14:paraId="29F6AAC4" w14:textId="77777777" w:rsidR="00BA3E87" w:rsidRDefault="000B2BF4">
            <w:pPr>
              <w:keepNext/>
              <w:keepLines/>
              <w:spacing w:after="0" w:line="240" w:lineRule="auto"/>
              <w:jc w:val="right"/>
            </w:pPr>
            <w:r>
              <w:rPr>
                <w:sz w:val="18"/>
              </w:rPr>
              <w:t>46.787,46</w:t>
            </w:r>
          </w:p>
        </w:tc>
        <w:tc>
          <w:tcPr>
            <w:tcW w:w="1860" w:type="dxa"/>
            <w:tcMar>
              <w:top w:w="0" w:type="dxa"/>
              <w:bottom w:w="0" w:type="dxa"/>
            </w:tcMar>
            <w:vAlign w:val="center"/>
          </w:tcPr>
          <w:p w14:paraId="7701F725" w14:textId="77777777" w:rsidR="00BA3E87" w:rsidRDefault="000B2BF4">
            <w:pPr>
              <w:keepNext/>
              <w:keepLines/>
              <w:spacing w:after="0" w:line="240" w:lineRule="auto"/>
              <w:jc w:val="right"/>
            </w:pPr>
            <w:r>
              <w:rPr>
                <w:sz w:val="18"/>
              </w:rPr>
              <w:t>0,00</w:t>
            </w:r>
          </w:p>
        </w:tc>
        <w:tc>
          <w:tcPr>
            <w:tcW w:w="700" w:type="dxa"/>
            <w:tcMar>
              <w:top w:w="0" w:type="dxa"/>
              <w:bottom w:w="0" w:type="dxa"/>
            </w:tcMar>
            <w:vAlign w:val="center"/>
          </w:tcPr>
          <w:p w14:paraId="21732D65" w14:textId="77777777" w:rsidR="00BA3E87" w:rsidRDefault="000B2BF4">
            <w:pPr>
              <w:keepNext/>
              <w:keepLines/>
              <w:spacing w:after="0" w:line="240" w:lineRule="auto"/>
              <w:jc w:val="right"/>
            </w:pPr>
            <w:r>
              <w:rPr>
                <w:sz w:val="18"/>
              </w:rPr>
              <w:t>0</w:t>
            </w:r>
          </w:p>
        </w:tc>
      </w:tr>
    </w:tbl>
    <w:p w14:paraId="77EE3002" w14:textId="77777777" w:rsidR="00BA3E87" w:rsidRDefault="00BA3E87">
      <w:pPr>
        <w:spacing w:after="0"/>
      </w:pPr>
    </w:p>
    <w:p w14:paraId="07B4C447" w14:textId="77777777" w:rsidR="00BA3E87" w:rsidRDefault="000B2BF4">
      <w:pPr>
        <w:jc w:val="both"/>
      </w:pPr>
      <w:r>
        <w:t>Tekuće pomoći međunarodnim organizacijama te institucijama i tijelima EU iskazane u izvještajnom razdoblju prethodne godine u ukupnom iznosu odnose se na isplate partnerima na EU projektu AT@AT.CB.</w:t>
      </w:r>
    </w:p>
    <w:p w14:paraId="3CDA7B89" w14:textId="77777777" w:rsidR="00BA3E87" w:rsidRDefault="00BA3E87"/>
    <w:p w14:paraId="24C202E6" w14:textId="77777777" w:rsidR="00BA3E87" w:rsidRDefault="000B2BF4">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62C9F125" w14:textId="77777777">
        <w:trPr>
          <w:cantSplit/>
        </w:trPr>
        <w:tc>
          <w:tcPr>
            <w:tcW w:w="700" w:type="dxa"/>
            <w:shd w:val="clear" w:color="auto" w:fill="E7F0F9"/>
            <w:tcMar>
              <w:top w:w="0" w:type="dxa"/>
              <w:bottom w:w="0" w:type="dxa"/>
            </w:tcMar>
            <w:vAlign w:val="center"/>
          </w:tcPr>
          <w:p w14:paraId="41F5FA03"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85115F"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F8198A"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F8AD87"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26118D"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7C0B4A" w14:textId="77777777" w:rsidR="00BA3E87" w:rsidRDefault="000B2BF4">
            <w:pPr>
              <w:keepNext/>
              <w:keepLines/>
              <w:spacing w:after="0" w:line="240" w:lineRule="auto"/>
              <w:jc w:val="center"/>
            </w:pPr>
            <w:r>
              <w:rPr>
                <w:b/>
                <w:sz w:val="18"/>
              </w:rPr>
              <w:t>Indeks (%)</w:t>
            </w:r>
          </w:p>
        </w:tc>
      </w:tr>
      <w:tr w:rsidR="00BA3E87" w14:paraId="5524C41F" w14:textId="77777777">
        <w:trPr>
          <w:cantSplit/>
          <w:trHeight w:val="560"/>
        </w:trPr>
        <w:tc>
          <w:tcPr>
            <w:tcW w:w="700" w:type="dxa"/>
            <w:tcMar>
              <w:top w:w="0" w:type="dxa"/>
              <w:bottom w:w="0" w:type="dxa"/>
            </w:tcMar>
            <w:vAlign w:val="center"/>
          </w:tcPr>
          <w:p w14:paraId="7834FB6B" w14:textId="77777777" w:rsidR="00BA3E87" w:rsidRDefault="000B2BF4">
            <w:pPr>
              <w:keepNext/>
              <w:keepLines/>
              <w:spacing w:after="0" w:line="240" w:lineRule="auto"/>
            </w:pPr>
            <w:r>
              <w:rPr>
                <w:sz w:val="18"/>
              </w:rPr>
              <w:t>366</w:t>
            </w:r>
          </w:p>
        </w:tc>
        <w:tc>
          <w:tcPr>
            <w:tcW w:w="3180" w:type="dxa"/>
            <w:tcMar>
              <w:top w:w="0" w:type="dxa"/>
              <w:bottom w:w="0" w:type="dxa"/>
            </w:tcMar>
            <w:vAlign w:val="center"/>
          </w:tcPr>
          <w:p w14:paraId="239E360D" w14:textId="77777777" w:rsidR="00BA3E87" w:rsidRDefault="000B2BF4">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078C6612" w14:textId="77777777" w:rsidR="00BA3E87" w:rsidRDefault="000B2BF4">
            <w:pPr>
              <w:keepNext/>
              <w:keepLines/>
              <w:spacing w:after="0" w:line="240" w:lineRule="auto"/>
            </w:pPr>
            <w:r>
              <w:rPr>
                <w:sz w:val="18"/>
              </w:rPr>
              <w:t>366</w:t>
            </w:r>
          </w:p>
        </w:tc>
        <w:tc>
          <w:tcPr>
            <w:tcW w:w="1860" w:type="dxa"/>
            <w:tcMar>
              <w:top w:w="0" w:type="dxa"/>
              <w:bottom w:w="0" w:type="dxa"/>
            </w:tcMar>
            <w:vAlign w:val="center"/>
          </w:tcPr>
          <w:p w14:paraId="30346FBF" w14:textId="77777777" w:rsidR="00BA3E87" w:rsidRDefault="000B2BF4">
            <w:pPr>
              <w:keepNext/>
              <w:keepLines/>
              <w:spacing w:after="0" w:line="240" w:lineRule="auto"/>
              <w:jc w:val="right"/>
            </w:pPr>
            <w:r>
              <w:rPr>
                <w:sz w:val="18"/>
              </w:rPr>
              <w:t>1.402.103,17</w:t>
            </w:r>
          </w:p>
        </w:tc>
        <w:tc>
          <w:tcPr>
            <w:tcW w:w="1860" w:type="dxa"/>
            <w:tcMar>
              <w:top w:w="0" w:type="dxa"/>
              <w:bottom w:w="0" w:type="dxa"/>
            </w:tcMar>
            <w:vAlign w:val="center"/>
          </w:tcPr>
          <w:p w14:paraId="66AFB67F" w14:textId="77777777" w:rsidR="00BA3E87" w:rsidRDefault="000B2BF4">
            <w:pPr>
              <w:keepNext/>
              <w:keepLines/>
              <w:spacing w:after="0" w:line="240" w:lineRule="auto"/>
              <w:jc w:val="right"/>
            </w:pPr>
            <w:r>
              <w:rPr>
                <w:sz w:val="18"/>
              </w:rPr>
              <w:t>327.573,58</w:t>
            </w:r>
          </w:p>
        </w:tc>
        <w:tc>
          <w:tcPr>
            <w:tcW w:w="700" w:type="dxa"/>
            <w:tcMar>
              <w:top w:w="0" w:type="dxa"/>
              <w:bottom w:w="0" w:type="dxa"/>
            </w:tcMar>
            <w:vAlign w:val="center"/>
          </w:tcPr>
          <w:p w14:paraId="7DF9043E" w14:textId="77777777" w:rsidR="00BA3E87" w:rsidRDefault="000B2BF4">
            <w:pPr>
              <w:keepNext/>
              <w:keepLines/>
              <w:spacing w:after="0" w:line="240" w:lineRule="auto"/>
              <w:jc w:val="right"/>
            </w:pPr>
            <w:r>
              <w:rPr>
                <w:sz w:val="18"/>
              </w:rPr>
              <w:t>23,4</w:t>
            </w:r>
          </w:p>
        </w:tc>
      </w:tr>
    </w:tbl>
    <w:p w14:paraId="7E84AE01" w14:textId="77777777" w:rsidR="00BA3E87" w:rsidRDefault="00BA3E87">
      <w:pPr>
        <w:spacing w:after="0"/>
      </w:pPr>
    </w:p>
    <w:p w14:paraId="431446E9" w14:textId="77777777" w:rsidR="00BA3E87" w:rsidRDefault="000B2BF4">
      <w:pPr>
        <w:jc w:val="both"/>
      </w:pPr>
      <w:r>
        <w:t xml:space="preserve">Pomoći proračunskim korisnicima drugih proračuna u izvještajnom razdoblju tekuće godine realizirane su u znatno manjem iznosu u odnosu izvještajno razdoblje prethodne godine. U 2024. godini cjelokupni iznos kapitalnih pomoći proračunskim korisnicima drugih proračuna </w:t>
      </w:r>
      <w:r>
        <w:lastRenderedPageBreak/>
        <w:t>odnosi se na isplate Općoj bolnici Varaždin za izgradnju i opremanje Centralnog operacijskog bloka te opremanje prostora za fizikalnu terapiju djece (1.215.878,20 eura).</w:t>
      </w:r>
    </w:p>
    <w:p w14:paraId="7BF13DDF" w14:textId="77777777" w:rsidR="00BA3E87" w:rsidRDefault="00BA3E87"/>
    <w:p w14:paraId="70DF7D0F" w14:textId="77777777" w:rsidR="00BA3E87" w:rsidRDefault="000B2BF4">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2A2858F8" w14:textId="77777777">
        <w:trPr>
          <w:cantSplit/>
        </w:trPr>
        <w:tc>
          <w:tcPr>
            <w:tcW w:w="700" w:type="dxa"/>
            <w:shd w:val="clear" w:color="auto" w:fill="E7F0F9"/>
            <w:tcMar>
              <w:top w:w="0" w:type="dxa"/>
              <w:bottom w:w="0" w:type="dxa"/>
            </w:tcMar>
            <w:vAlign w:val="center"/>
          </w:tcPr>
          <w:p w14:paraId="48CD9BC3"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DD76A9"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1DFDAC"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9985E0"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B1CCC5"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099F12" w14:textId="77777777" w:rsidR="00BA3E87" w:rsidRDefault="000B2BF4">
            <w:pPr>
              <w:keepNext/>
              <w:keepLines/>
              <w:spacing w:after="0" w:line="240" w:lineRule="auto"/>
              <w:jc w:val="center"/>
            </w:pPr>
            <w:r>
              <w:rPr>
                <w:b/>
                <w:sz w:val="18"/>
              </w:rPr>
              <w:t>Indeks (%)</w:t>
            </w:r>
          </w:p>
        </w:tc>
      </w:tr>
      <w:tr w:rsidR="00BA3E87" w14:paraId="01141586" w14:textId="77777777">
        <w:trPr>
          <w:cantSplit/>
          <w:trHeight w:val="560"/>
        </w:trPr>
        <w:tc>
          <w:tcPr>
            <w:tcW w:w="700" w:type="dxa"/>
            <w:tcMar>
              <w:top w:w="0" w:type="dxa"/>
              <w:bottom w:w="0" w:type="dxa"/>
            </w:tcMar>
            <w:vAlign w:val="center"/>
          </w:tcPr>
          <w:p w14:paraId="68E9FD5B" w14:textId="77777777" w:rsidR="00BA3E87" w:rsidRDefault="000B2BF4">
            <w:pPr>
              <w:keepNext/>
              <w:keepLines/>
              <w:spacing w:after="0" w:line="240" w:lineRule="auto"/>
            </w:pPr>
            <w:r>
              <w:rPr>
                <w:sz w:val="18"/>
              </w:rPr>
              <w:t>367</w:t>
            </w:r>
          </w:p>
        </w:tc>
        <w:tc>
          <w:tcPr>
            <w:tcW w:w="3180" w:type="dxa"/>
            <w:tcMar>
              <w:top w:w="0" w:type="dxa"/>
              <w:bottom w:w="0" w:type="dxa"/>
            </w:tcMar>
            <w:vAlign w:val="center"/>
          </w:tcPr>
          <w:p w14:paraId="73A96F09" w14:textId="77777777" w:rsidR="00BA3E87" w:rsidRDefault="000B2BF4">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4615AA73" w14:textId="77777777" w:rsidR="00BA3E87" w:rsidRDefault="000B2BF4">
            <w:pPr>
              <w:keepNext/>
              <w:keepLines/>
              <w:spacing w:after="0" w:line="240" w:lineRule="auto"/>
            </w:pPr>
            <w:r>
              <w:rPr>
                <w:sz w:val="18"/>
              </w:rPr>
              <w:t>367</w:t>
            </w:r>
          </w:p>
        </w:tc>
        <w:tc>
          <w:tcPr>
            <w:tcW w:w="1860" w:type="dxa"/>
            <w:tcMar>
              <w:top w:w="0" w:type="dxa"/>
              <w:bottom w:w="0" w:type="dxa"/>
            </w:tcMar>
            <w:vAlign w:val="center"/>
          </w:tcPr>
          <w:p w14:paraId="4838D31F" w14:textId="77777777" w:rsidR="00BA3E87" w:rsidRDefault="000B2BF4">
            <w:pPr>
              <w:keepNext/>
              <w:keepLines/>
              <w:spacing w:after="0" w:line="240" w:lineRule="auto"/>
              <w:jc w:val="right"/>
            </w:pPr>
            <w:r>
              <w:rPr>
                <w:sz w:val="18"/>
              </w:rPr>
              <w:t>18.234.211,26</w:t>
            </w:r>
          </w:p>
        </w:tc>
        <w:tc>
          <w:tcPr>
            <w:tcW w:w="1860" w:type="dxa"/>
            <w:tcMar>
              <w:top w:w="0" w:type="dxa"/>
              <w:bottom w:w="0" w:type="dxa"/>
            </w:tcMar>
            <w:vAlign w:val="center"/>
          </w:tcPr>
          <w:p w14:paraId="470821D4" w14:textId="77777777" w:rsidR="00BA3E87" w:rsidRDefault="000B2BF4">
            <w:pPr>
              <w:keepNext/>
              <w:keepLines/>
              <w:spacing w:after="0" w:line="240" w:lineRule="auto"/>
              <w:jc w:val="right"/>
            </w:pPr>
            <w:r>
              <w:rPr>
                <w:sz w:val="18"/>
              </w:rPr>
              <w:t>20.947.915,39</w:t>
            </w:r>
          </w:p>
        </w:tc>
        <w:tc>
          <w:tcPr>
            <w:tcW w:w="700" w:type="dxa"/>
            <w:tcMar>
              <w:top w:w="0" w:type="dxa"/>
              <w:bottom w:w="0" w:type="dxa"/>
            </w:tcMar>
            <w:vAlign w:val="center"/>
          </w:tcPr>
          <w:p w14:paraId="1E06AC7E" w14:textId="77777777" w:rsidR="00BA3E87" w:rsidRDefault="000B2BF4">
            <w:pPr>
              <w:keepNext/>
              <w:keepLines/>
              <w:spacing w:after="0" w:line="240" w:lineRule="auto"/>
              <w:jc w:val="right"/>
            </w:pPr>
            <w:r>
              <w:rPr>
                <w:sz w:val="18"/>
              </w:rPr>
              <w:t>114,9</w:t>
            </w:r>
          </w:p>
        </w:tc>
      </w:tr>
    </w:tbl>
    <w:p w14:paraId="7A8A6E8C" w14:textId="77777777" w:rsidR="00BA3E87" w:rsidRDefault="00BA3E87">
      <w:pPr>
        <w:spacing w:after="0"/>
      </w:pPr>
    </w:p>
    <w:p w14:paraId="2BBFEBE5" w14:textId="77777777" w:rsidR="00BA3E87" w:rsidRDefault="000B2BF4">
      <w:pPr>
        <w:jc w:val="both"/>
      </w:pPr>
      <w:r>
        <w:t>Ova skupina rashoda bilježi povećanje od 2.713.704,13 eura.  Unutar iste su iskazani prijenosi za financiranje redovne djelatnosti proračunskih korisnika Varaždinske županije, a koji se iskazuju po novčanom načelu sukladno Pravilniku o proračunskom računovodstvu i Računskom planu („Narodne novine“ br. 158/23, 154/24). Na rashode proračunskih korisnika iz prethodne godine, a podmirene u tekućem razdoblju (i time iskazani kao prihod kod proračunskih korisnika), odnosi se 1.717.468,99 eura, od čega 988.040,98 eura na obveze za projekt RCK u poljoprivredi kod Srednje škole Arboretum Opeka Vinica. Navedeni rashodi povećani su velikim dijelom i zbog sufinanciranja izgradnje nove zgrade Zavoda za javno zdravstvo Varaždinske županije (1.502.879,00 eura) te nabave vozila za HMS i sanitetski prijevoz Nastavnog zavoda za hitnu medicinu (1.060.000,00 eura).</w:t>
      </w:r>
    </w:p>
    <w:p w14:paraId="7CC978F2" w14:textId="77777777" w:rsidR="00BA3E87" w:rsidRDefault="00BA3E87"/>
    <w:p w14:paraId="5831C410" w14:textId="77777777" w:rsidR="00BA3E87" w:rsidRDefault="000B2BF4">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30C27A10" w14:textId="77777777">
        <w:trPr>
          <w:cantSplit/>
        </w:trPr>
        <w:tc>
          <w:tcPr>
            <w:tcW w:w="700" w:type="dxa"/>
            <w:shd w:val="clear" w:color="auto" w:fill="E7F0F9"/>
            <w:tcMar>
              <w:top w:w="0" w:type="dxa"/>
              <w:bottom w:w="0" w:type="dxa"/>
            </w:tcMar>
            <w:vAlign w:val="center"/>
          </w:tcPr>
          <w:p w14:paraId="083B863D"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997F44"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B43AE2"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43A839"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996E6C"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2DE54C" w14:textId="77777777" w:rsidR="00BA3E87" w:rsidRDefault="000B2BF4">
            <w:pPr>
              <w:keepNext/>
              <w:keepLines/>
              <w:spacing w:after="0" w:line="240" w:lineRule="auto"/>
              <w:jc w:val="center"/>
            </w:pPr>
            <w:r>
              <w:rPr>
                <w:b/>
                <w:sz w:val="18"/>
              </w:rPr>
              <w:t>Indeks (%)</w:t>
            </w:r>
          </w:p>
        </w:tc>
      </w:tr>
      <w:tr w:rsidR="00BA3E87" w14:paraId="70F94CCA" w14:textId="77777777">
        <w:trPr>
          <w:cantSplit/>
          <w:trHeight w:val="560"/>
        </w:trPr>
        <w:tc>
          <w:tcPr>
            <w:tcW w:w="700" w:type="dxa"/>
            <w:tcMar>
              <w:top w:w="0" w:type="dxa"/>
              <w:bottom w:w="0" w:type="dxa"/>
            </w:tcMar>
            <w:vAlign w:val="center"/>
          </w:tcPr>
          <w:p w14:paraId="2FD18F68" w14:textId="77777777" w:rsidR="00BA3E87" w:rsidRDefault="000B2BF4">
            <w:pPr>
              <w:keepNext/>
              <w:keepLines/>
              <w:spacing w:after="0" w:line="240" w:lineRule="auto"/>
            </w:pPr>
            <w:r>
              <w:rPr>
                <w:sz w:val="18"/>
              </w:rPr>
              <w:t>369</w:t>
            </w:r>
          </w:p>
        </w:tc>
        <w:tc>
          <w:tcPr>
            <w:tcW w:w="3180" w:type="dxa"/>
            <w:tcMar>
              <w:top w:w="0" w:type="dxa"/>
              <w:bottom w:w="0" w:type="dxa"/>
            </w:tcMar>
            <w:vAlign w:val="center"/>
          </w:tcPr>
          <w:p w14:paraId="15774939" w14:textId="77777777" w:rsidR="00BA3E87" w:rsidRDefault="000B2BF4">
            <w:pPr>
              <w:keepNext/>
              <w:keepLines/>
              <w:spacing w:after="0" w:line="240" w:lineRule="auto"/>
            </w:pPr>
            <w:r>
              <w:rPr>
                <w:sz w:val="18"/>
              </w:rPr>
              <w:t>Prijenosi između proračunskih korisnika istog proračuna (šifre 3691 do 3694)</w:t>
            </w:r>
          </w:p>
        </w:tc>
        <w:tc>
          <w:tcPr>
            <w:tcW w:w="700" w:type="dxa"/>
            <w:tcMar>
              <w:top w:w="0" w:type="dxa"/>
              <w:bottom w:w="0" w:type="dxa"/>
            </w:tcMar>
            <w:vAlign w:val="center"/>
          </w:tcPr>
          <w:p w14:paraId="1C40CB47" w14:textId="77777777" w:rsidR="00BA3E87" w:rsidRDefault="000B2BF4">
            <w:pPr>
              <w:keepNext/>
              <w:keepLines/>
              <w:spacing w:after="0" w:line="240" w:lineRule="auto"/>
            </w:pPr>
            <w:r>
              <w:rPr>
                <w:sz w:val="18"/>
              </w:rPr>
              <w:t>369</w:t>
            </w:r>
          </w:p>
        </w:tc>
        <w:tc>
          <w:tcPr>
            <w:tcW w:w="1860" w:type="dxa"/>
            <w:tcMar>
              <w:top w:w="0" w:type="dxa"/>
              <w:bottom w:w="0" w:type="dxa"/>
            </w:tcMar>
            <w:vAlign w:val="center"/>
          </w:tcPr>
          <w:p w14:paraId="7CC325C7" w14:textId="77777777" w:rsidR="00BA3E87" w:rsidRDefault="000B2BF4">
            <w:pPr>
              <w:keepNext/>
              <w:keepLines/>
              <w:spacing w:after="0" w:line="240" w:lineRule="auto"/>
              <w:jc w:val="right"/>
            </w:pPr>
            <w:r>
              <w:rPr>
                <w:sz w:val="18"/>
              </w:rPr>
              <w:t>1.603.911,55</w:t>
            </w:r>
          </w:p>
        </w:tc>
        <w:tc>
          <w:tcPr>
            <w:tcW w:w="1860" w:type="dxa"/>
            <w:tcMar>
              <w:top w:w="0" w:type="dxa"/>
              <w:bottom w:w="0" w:type="dxa"/>
            </w:tcMar>
            <w:vAlign w:val="center"/>
          </w:tcPr>
          <w:p w14:paraId="658D2BF7" w14:textId="77777777" w:rsidR="00BA3E87" w:rsidRDefault="000B2BF4">
            <w:pPr>
              <w:keepNext/>
              <w:keepLines/>
              <w:spacing w:after="0" w:line="240" w:lineRule="auto"/>
              <w:jc w:val="right"/>
            </w:pPr>
            <w:r>
              <w:rPr>
                <w:sz w:val="18"/>
              </w:rPr>
              <w:t>7.200.966,24</w:t>
            </w:r>
          </w:p>
        </w:tc>
        <w:tc>
          <w:tcPr>
            <w:tcW w:w="700" w:type="dxa"/>
            <w:tcMar>
              <w:top w:w="0" w:type="dxa"/>
              <w:bottom w:w="0" w:type="dxa"/>
            </w:tcMar>
            <w:vAlign w:val="center"/>
          </w:tcPr>
          <w:p w14:paraId="73DC997D" w14:textId="77777777" w:rsidR="00BA3E87" w:rsidRDefault="000B2BF4">
            <w:pPr>
              <w:keepNext/>
              <w:keepLines/>
              <w:spacing w:after="0" w:line="240" w:lineRule="auto"/>
              <w:jc w:val="right"/>
            </w:pPr>
            <w:r>
              <w:rPr>
                <w:sz w:val="18"/>
              </w:rPr>
              <w:t>449,0</w:t>
            </w:r>
          </w:p>
        </w:tc>
      </w:tr>
    </w:tbl>
    <w:p w14:paraId="2703CF4E" w14:textId="77777777" w:rsidR="00BA3E87" w:rsidRDefault="00BA3E87">
      <w:pPr>
        <w:spacing w:after="0"/>
      </w:pPr>
    </w:p>
    <w:p w14:paraId="5834A8CB" w14:textId="77777777" w:rsidR="00BA3E87" w:rsidRDefault="000B2BF4">
      <w:pPr>
        <w:jc w:val="both"/>
      </w:pPr>
      <w:r>
        <w:t>Vrijednosno najveće povećanje bilježi se unutar ove podskupine rashoda (5.597.054,69 eura). U izvještajnom razdoblju prethodne godine unutar ove kategorije rashoda evidentirana su sredstva isplaćena RKP korisnicima Varaždinske županije za provođenje EU projekta Zajedno možemo više (611.257,91 eura), I ti možeš (468.248,31 eura), Rekonstrukcija i dogradnja OŠ Ivanec (498.174,45 eura), Rekonstrukcija i dogradnja školske zgrade i sportske dvorane PŠ Strmec Podravski (14.683,29 eura) te Rekonstrukcija i dogradnja školske zgrade i sportske dvorane PŠ Nova Ves Petrijanečka (11.547,59 eura). U izvještajnom razdoblju tekuće godine najveći iznosi ovdje evidentiranih sredstava isplaćenih RKP korisnicima odnose se na EU projekte Rekonstrukcija i dogradnja OŠ Ivanec (3.484.747,12 eura), I ti možeš (1.930.598,90 eura), Rekonstrukcija i dogradnja školske zgrade i sportske dvorane PŠ Strmec Podravski (1.213.619,05 eura),  Rekonstrukcija i dogradnja školske zgrade i sportske dvorane PŠ Nova Ves Petrijanečka (395.128,02 eura), Arboretum Opeka-održiva zelena destinacija (142.937,95  eura), Rekonstrukcija i opremanje-Graditeljska, prirodoslovna i rudarska škola (32.747,70 eura) te Rekonstrukcija i opremanje Gospodarske škole (1.187,50 eura).</w:t>
      </w:r>
    </w:p>
    <w:p w14:paraId="773C5C31" w14:textId="77777777" w:rsidR="00BA3E87" w:rsidRDefault="00BA3E87"/>
    <w:p w14:paraId="61A9CBF2" w14:textId="77777777" w:rsidR="00BA3E87" w:rsidRDefault="000B2BF4">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796BEA7D" w14:textId="77777777">
        <w:trPr>
          <w:cantSplit/>
        </w:trPr>
        <w:tc>
          <w:tcPr>
            <w:tcW w:w="700" w:type="dxa"/>
            <w:shd w:val="clear" w:color="auto" w:fill="E7F0F9"/>
            <w:tcMar>
              <w:top w:w="0" w:type="dxa"/>
              <w:bottom w:w="0" w:type="dxa"/>
            </w:tcMar>
            <w:vAlign w:val="center"/>
          </w:tcPr>
          <w:p w14:paraId="4A01DE67"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BDE6F1"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517701"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4F37D6"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1DB161"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2ACFA0" w14:textId="77777777" w:rsidR="00BA3E87" w:rsidRDefault="000B2BF4">
            <w:pPr>
              <w:keepNext/>
              <w:keepLines/>
              <w:spacing w:after="0" w:line="240" w:lineRule="auto"/>
              <w:jc w:val="center"/>
            </w:pPr>
            <w:r>
              <w:rPr>
                <w:b/>
                <w:sz w:val="18"/>
              </w:rPr>
              <w:t>Indeks (%)</w:t>
            </w:r>
          </w:p>
        </w:tc>
      </w:tr>
      <w:tr w:rsidR="00BA3E87" w14:paraId="55FACFB3" w14:textId="77777777">
        <w:trPr>
          <w:cantSplit/>
          <w:trHeight w:val="560"/>
        </w:trPr>
        <w:tc>
          <w:tcPr>
            <w:tcW w:w="700" w:type="dxa"/>
            <w:tcMar>
              <w:top w:w="0" w:type="dxa"/>
              <w:bottom w:w="0" w:type="dxa"/>
            </w:tcMar>
            <w:vAlign w:val="center"/>
          </w:tcPr>
          <w:p w14:paraId="3C0FB48C" w14:textId="77777777" w:rsidR="00BA3E87" w:rsidRDefault="000B2BF4">
            <w:pPr>
              <w:keepNext/>
              <w:keepLines/>
              <w:spacing w:after="0" w:line="240" w:lineRule="auto"/>
            </w:pPr>
            <w:r>
              <w:rPr>
                <w:sz w:val="18"/>
              </w:rPr>
              <w:t>3811</w:t>
            </w:r>
          </w:p>
        </w:tc>
        <w:tc>
          <w:tcPr>
            <w:tcW w:w="3180" w:type="dxa"/>
            <w:tcMar>
              <w:top w:w="0" w:type="dxa"/>
              <w:bottom w:w="0" w:type="dxa"/>
            </w:tcMar>
            <w:vAlign w:val="center"/>
          </w:tcPr>
          <w:p w14:paraId="418E3181" w14:textId="77777777" w:rsidR="00BA3E87" w:rsidRDefault="000B2BF4">
            <w:pPr>
              <w:keepNext/>
              <w:keepLines/>
              <w:spacing w:after="0" w:line="240" w:lineRule="auto"/>
            </w:pPr>
            <w:r>
              <w:rPr>
                <w:sz w:val="18"/>
              </w:rPr>
              <w:t>Tekuće donacije u novcu</w:t>
            </w:r>
          </w:p>
        </w:tc>
        <w:tc>
          <w:tcPr>
            <w:tcW w:w="700" w:type="dxa"/>
            <w:tcMar>
              <w:top w:w="0" w:type="dxa"/>
              <w:bottom w:w="0" w:type="dxa"/>
            </w:tcMar>
            <w:vAlign w:val="center"/>
          </w:tcPr>
          <w:p w14:paraId="070E091E" w14:textId="77777777" w:rsidR="00BA3E87" w:rsidRDefault="000B2BF4">
            <w:pPr>
              <w:keepNext/>
              <w:keepLines/>
              <w:spacing w:after="0" w:line="240" w:lineRule="auto"/>
            </w:pPr>
            <w:r>
              <w:rPr>
                <w:sz w:val="18"/>
              </w:rPr>
              <w:t>3811</w:t>
            </w:r>
          </w:p>
        </w:tc>
        <w:tc>
          <w:tcPr>
            <w:tcW w:w="1860" w:type="dxa"/>
            <w:tcMar>
              <w:top w:w="0" w:type="dxa"/>
              <w:bottom w:w="0" w:type="dxa"/>
            </w:tcMar>
            <w:vAlign w:val="center"/>
          </w:tcPr>
          <w:p w14:paraId="408082EA" w14:textId="77777777" w:rsidR="00BA3E87" w:rsidRDefault="000B2BF4">
            <w:pPr>
              <w:keepNext/>
              <w:keepLines/>
              <w:spacing w:after="0" w:line="240" w:lineRule="auto"/>
              <w:jc w:val="right"/>
            </w:pPr>
            <w:r>
              <w:rPr>
                <w:sz w:val="18"/>
              </w:rPr>
              <w:t>1.639.108,00</w:t>
            </w:r>
          </w:p>
        </w:tc>
        <w:tc>
          <w:tcPr>
            <w:tcW w:w="1860" w:type="dxa"/>
            <w:tcMar>
              <w:top w:w="0" w:type="dxa"/>
              <w:bottom w:w="0" w:type="dxa"/>
            </w:tcMar>
            <w:vAlign w:val="center"/>
          </w:tcPr>
          <w:p w14:paraId="1D2B1BA2" w14:textId="77777777" w:rsidR="00BA3E87" w:rsidRDefault="000B2BF4">
            <w:pPr>
              <w:keepNext/>
              <w:keepLines/>
              <w:spacing w:after="0" w:line="240" w:lineRule="auto"/>
              <w:jc w:val="right"/>
            </w:pPr>
            <w:r>
              <w:rPr>
                <w:sz w:val="18"/>
              </w:rPr>
              <w:t>2.045.351,78</w:t>
            </w:r>
          </w:p>
        </w:tc>
        <w:tc>
          <w:tcPr>
            <w:tcW w:w="700" w:type="dxa"/>
            <w:tcMar>
              <w:top w:w="0" w:type="dxa"/>
              <w:bottom w:w="0" w:type="dxa"/>
            </w:tcMar>
            <w:vAlign w:val="center"/>
          </w:tcPr>
          <w:p w14:paraId="19CFDA6A" w14:textId="77777777" w:rsidR="00BA3E87" w:rsidRDefault="000B2BF4">
            <w:pPr>
              <w:keepNext/>
              <w:keepLines/>
              <w:spacing w:after="0" w:line="240" w:lineRule="auto"/>
              <w:jc w:val="right"/>
            </w:pPr>
            <w:r>
              <w:rPr>
                <w:sz w:val="18"/>
              </w:rPr>
              <w:t>124,8</w:t>
            </w:r>
          </w:p>
        </w:tc>
      </w:tr>
    </w:tbl>
    <w:p w14:paraId="11FEF2E7" w14:textId="77777777" w:rsidR="00BA3E87" w:rsidRDefault="00BA3E87">
      <w:pPr>
        <w:spacing w:after="0"/>
      </w:pPr>
    </w:p>
    <w:p w14:paraId="7CB93878" w14:textId="77777777" w:rsidR="00BA3E87" w:rsidRDefault="000B2BF4">
      <w:r>
        <w:t>Ova skupina rashoda bilježi promjenu od 24,8%, a uslijed povećanja osiguranih proračunskih sredstava za financiranje javnih potreba i to prije svega u području kulture i sporta.</w:t>
      </w:r>
    </w:p>
    <w:p w14:paraId="68B84868" w14:textId="77777777" w:rsidR="00BA3E87" w:rsidRDefault="00BA3E87"/>
    <w:p w14:paraId="00BE9E85" w14:textId="77777777" w:rsidR="00BA3E87" w:rsidRDefault="000B2BF4">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359BDE5C" w14:textId="77777777">
        <w:trPr>
          <w:cantSplit/>
        </w:trPr>
        <w:tc>
          <w:tcPr>
            <w:tcW w:w="700" w:type="dxa"/>
            <w:shd w:val="clear" w:color="auto" w:fill="E7F0F9"/>
            <w:tcMar>
              <w:top w:w="0" w:type="dxa"/>
              <w:bottom w:w="0" w:type="dxa"/>
            </w:tcMar>
            <w:vAlign w:val="center"/>
          </w:tcPr>
          <w:p w14:paraId="2BD3F48A"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5909A7"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D447DC"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D5B2A3"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3310C0"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166134" w14:textId="77777777" w:rsidR="00BA3E87" w:rsidRDefault="000B2BF4">
            <w:pPr>
              <w:keepNext/>
              <w:keepLines/>
              <w:spacing w:after="0" w:line="240" w:lineRule="auto"/>
              <w:jc w:val="center"/>
            </w:pPr>
            <w:r>
              <w:rPr>
                <w:b/>
                <w:sz w:val="18"/>
              </w:rPr>
              <w:t>Indeks (%)</w:t>
            </w:r>
          </w:p>
        </w:tc>
      </w:tr>
      <w:tr w:rsidR="00BA3E87" w14:paraId="79210134" w14:textId="77777777">
        <w:trPr>
          <w:cantSplit/>
          <w:trHeight w:val="560"/>
        </w:trPr>
        <w:tc>
          <w:tcPr>
            <w:tcW w:w="700" w:type="dxa"/>
            <w:tcMar>
              <w:top w:w="0" w:type="dxa"/>
              <w:bottom w:w="0" w:type="dxa"/>
            </w:tcMar>
            <w:vAlign w:val="center"/>
          </w:tcPr>
          <w:p w14:paraId="37AE3A6D" w14:textId="77777777" w:rsidR="00BA3E87" w:rsidRDefault="000B2BF4">
            <w:pPr>
              <w:keepNext/>
              <w:keepLines/>
              <w:spacing w:after="0" w:line="240" w:lineRule="auto"/>
            </w:pPr>
            <w:r>
              <w:rPr>
                <w:sz w:val="18"/>
              </w:rPr>
              <w:t>386</w:t>
            </w:r>
          </w:p>
        </w:tc>
        <w:tc>
          <w:tcPr>
            <w:tcW w:w="3180" w:type="dxa"/>
            <w:tcMar>
              <w:top w:w="0" w:type="dxa"/>
              <w:bottom w:w="0" w:type="dxa"/>
            </w:tcMar>
            <w:vAlign w:val="center"/>
          </w:tcPr>
          <w:p w14:paraId="32043A9F" w14:textId="77777777" w:rsidR="00BA3E87" w:rsidRDefault="000B2BF4">
            <w:pPr>
              <w:keepNext/>
              <w:keepLines/>
              <w:spacing w:after="0" w:line="240" w:lineRule="auto"/>
            </w:pPr>
            <w:r>
              <w:rPr>
                <w:sz w:val="18"/>
              </w:rPr>
              <w:t>Kapitalne pomoći (šifre 3861 do 3865)</w:t>
            </w:r>
          </w:p>
        </w:tc>
        <w:tc>
          <w:tcPr>
            <w:tcW w:w="700" w:type="dxa"/>
            <w:tcMar>
              <w:top w:w="0" w:type="dxa"/>
              <w:bottom w:w="0" w:type="dxa"/>
            </w:tcMar>
            <w:vAlign w:val="center"/>
          </w:tcPr>
          <w:p w14:paraId="6749A320" w14:textId="77777777" w:rsidR="00BA3E87" w:rsidRDefault="000B2BF4">
            <w:pPr>
              <w:keepNext/>
              <w:keepLines/>
              <w:spacing w:after="0" w:line="240" w:lineRule="auto"/>
            </w:pPr>
            <w:r>
              <w:rPr>
                <w:sz w:val="18"/>
              </w:rPr>
              <w:t>386</w:t>
            </w:r>
          </w:p>
        </w:tc>
        <w:tc>
          <w:tcPr>
            <w:tcW w:w="1860" w:type="dxa"/>
            <w:tcMar>
              <w:top w:w="0" w:type="dxa"/>
              <w:bottom w:w="0" w:type="dxa"/>
            </w:tcMar>
            <w:vAlign w:val="center"/>
          </w:tcPr>
          <w:p w14:paraId="0F03F9C4" w14:textId="77777777" w:rsidR="00BA3E87" w:rsidRDefault="000B2BF4">
            <w:pPr>
              <w:keepNext/>
              <w:keepLines/>
              <w:spacing w:after="0" w:line="240" w:lineRule="auto"/>
              <w:jc w:val="right"/>
            </w:pPr>
            <w:r>
              <w:rPr>
                <w:sz w:val="18"/>
              </w:rPr>
              <w:t>0,00</w:t>
            </w:r>
          </w:p>
        </w:tc>
        <w:tc>
          <w:tcPr>
            <w:tcW w:w="1860" w:type="dxa"/>
            <w:tcMar>
              <w:top w:w="0" w:type="dxa"/>
              <w:bottom w:w="0" w:type="dxa"/>
            </w:tcMar>
            <w:vAlign w:val="center"/>
          </w:tcPr>
          <w:p w14:paraId="26918056" w14:textId="77777777" w:rsidR="00BA3E87" w:rsidRDefault="000B2BF4">
            <w:pPr>
              <w:keepNext/>
              <w:keepLines/>
              <w:spacing w:after="0" w:line="240" w:lineRule="auto"/>
              <w:jc w:val="right"/>
            </w:pPr>
            <w:r>
              <w:rPr>
                <w:sz w:val="18"/>
              </w:rPr>
              <w:t>297.966,04</w:t>
            </w:r>
          </w:p>
        </w:tc>
        <w:tc>
          <w:tcPr>
            <w:tcW w:w="700" w:type="dxa"/>
            <w:tcMar>
              <w:top w:w="0" w:type="dxa"/>
              <w:bottom w:w="0" w:type="dxa"/>
            </w:tcMar>
            <w:vAlign w:val="center"/>
          </w:tcPr>
          <w:p w14:paraId="36F53C8F" w14:textId="77777777" w:rsidR="00BA3E87" w:rsidRDefault="000B2BF4">
            <w:pPr>
              <w:keepNext/>
              <w:keepLines/>
              <w:spacing w:after="0" w:line="240" w:lineRule="auto"/>
              <w:jc w:val="right"/>
            </w:pPr>
            <w:r>
              <w:rPr>
                <w:sz w:val="18"/>
              </w:rPr>
              <w:t>-</w:t>
            </w:r>
          </w:p>
        </w:tc>
      </w:tr>
    </w:tbl>
    <w:p w14:paraId="02381E22" w14:textId="77777777" w:rsidR="00BA3E87" w:rsidRDefault="00BA3E87">
      <w:pPr>
        <w:spacing w:after="0"/>
      </w:pPr>
    </w:p>
    <w:p w14:paraId="3DE8A3BE" w14:textId="77777777" w:rsidR="00BA3E87" w:rsidRDefault="000B2BF4">
      <w:pPr>
        <w:jc w:val="both"/>
      </w:pPr>
      <w:r>
        <w:t>Kapitalne pomoći u izvještajnom razdoblju tekuće godine odnose se na sredstva isplaćena trgovačkom društvu Piškornica d.o.o. za projekt Regionalni centar za gospodarenje otpadom Sjeverozapadne Hrvatske Piškornica.</w:t>
      </w:r>
    </w:p>
    <w:p w14:paraId="20DE7C01" w14:textId="77777777" w:rsidR="00BA3E87" w:rsidRDefault="00BA3E87"/>
    <w:p w14:paraId="124803E3" w14:textId="77777777" w:rsidR="00BA3E87" w:rsidRDefault="000B2BF4">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0512EDF3" w14:textId="77777777">
        <w:trPr>
          <w:cantSplit/>
        </w:trPr>
        <w:tc>
          <w:tcPr>
            <w:tcW w:w="700" w:type="dxa"/>
            <w:shd w:val="clear" w:color="auto" w:fill="E7F0F9"/>
            <w:tcMar>
              <w:top w:w="0" w:type="dxa"/>
              <w:bottom w:w="0" w:type="dxa"/>
            </w:tcMar>
            <w:vAlign w:val="center"/>
          </w:tcPr>
          <w:p w14:paraId="6FC9E6EA"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AC9BD7"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E35243"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D78EEF"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934250"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63C895" w14:textId="77777777" w:rsidR="00BA3E87" w:rsidRDefault="000B2BF4">
            <w:pPr>
              <w:keepNext/>
              <w:keepLines/>
              <w:spacing w:after="0" w:line="240" w:lineRule="auto"/>
              <w:jc w:val="center"/>
            </w:pPr>
            <w:r>
              <w:rPr>
                <w:b/>
                <w:sz w:val="18"/>
              </w:rPr>
              <w:t>Indeks (%)</w:t>
            </w:r>
          </w:p>
        </w:tc>
      </w:tr>
      <w:tr w:rsidR="00BA3E87" w14:paraId="17302A4D" w14:textId="77777777">
        <w:trPr>
          <w:cantSplit/>
          <w:trHeight w:val="560"/>
        </w:trPr>
        <w:tc>
          <w:tcPr>
            <w:tcW w:w="700" w:type="dxa"/>
            <w:tcMar>
              <w:top w:w="0" w:type="dxa"/>
              <w:bottom w:w="0" w:type="dxa"/>
            </w:tcMar>
            <w:vAlign w:val="center"/>
          </w:tcPr>
          <w:p w14:paraId="423F3375" w14:textId="77777777" w:rsidR="00BA3E87" w:rsidRDefault="000B2BF4">
            <w:pPr>
              <w:keepNext/>
              <w:keepLines/>
              <w:spacing w:after="0" w:line="240" w:lineRule="auto"/>
            </w:pPr>
            <w:r>
              <w:rPr>
                <w:sz w:val="18"/>
              </w:rPr>
              <w:t>711</w:t>
            </w:r>
          </w:p>
        </w:tc>
        <w:tc>
          <w:tcPr>
            <w:tcW w:w="3180" w:type="dxa"/>
            <w:tcMar>
              <w:top w:w="0" w:type="dxa"/>
              <w:bottom w:w="0" w:type="dxa"/>
            </w:tcMar>
            <w:vAlign w:val="center"/>
          </w:tcPr>
          <w:p w14:paraId="0DA5E17B" w14:textId="77777777" w:rsidR="00BA3E87" w:rsidRDefault="000B2BF4">
            <w:pPr>
              <w:keepNext/>
              <w:keepLines/>
              <w:spacing w:after="0" w:line="240" w:lineRule="auto"/>
            </w:pPr>
            <w:r>
              <w:rPr>
                <w:sz w:val="18"/>
              </w:rPr>
              <w:t>Prihodi od prodaje materijalne imovine - prirodnih bogatstava (šifre 7111 do 7113)</w:t>
            </w:r>
          </w:p>
        </w:tc>
        <w:tc>
          <w:tcPr>
            <w:tcW w:w="700" w:type="dxa"/>
            <w:tcMar>
              <w:top w:w="0" w:type="dxa"/>
              <w:bottom w:w="0" w:type="dxa"/>
            </w:tcMar>
            <w:vAlign w:val="center"/>
          </w:tcPr>
          <w:p w14:paraId="2FC7D439" w14:textId="77777777" w:rsidR="00BA3E87" w:rsidRDefault="000B2BF4">
            <w:pPr>
              <w:keepNext/>
              <w:keepLines/>
              <w:spacing w:after="0" w:line="240" w:lineRule="auto"/>
            </w:pPr>
            <w:r>
              <w:rPr>
                <w:sz w:val="18"/>
              </w:rPr>
              <w:t>711</w:t>
            </w:r>
          </w:p>
        </w:tc>
        <w:tc>
          <w:tcPr>
            <w:tcW w:w="1860" w:type="dxa"/>
            <w:tcMar>
              <w:top w:w="0" w:type="dxa"/>
              <w:bottom w:w="0" w:type="dxa"/>
            </w:tcMar>
            <w:vAlign w:val="center"/>
          </w:tcPr>
          <w:p w14:paraId="20254C73" w14:textId="77777777" w:rsidR="00BA3E87" w:rsidRDefault="000B2BF4">
            <w:pPr>
              <w:keepNext/>
              <w:keepLines/>
              <w:spacing w:after="0" w:line="240" w:lineRule="auto"/>
              <w:jc w:val="right"/>
            </w:pPr>
            <w:r>
              <w:rPr>
                <w:sz w:val="18"/>
              </w:rPr>
              <w:t>9.030,76</w:t>
            </w:r>
          </w:p>
        </w:tc>
        <w:tc>
          <w:tcPr>
            <w:tcW w:w="1860" w:type="dxa"/>
            <w:tcMar>
              <w:top w:w="0" w:type="dxa"/>
              <w:bottom w:w="0" w:type="dxa"/>
            </w:tcMar>
            <w:vAlign w:val="center"/>
          </w:tcPr>
          <w:p w14:paraId="51F2A507" w14:textId="77777777" w:rsidR="00BA3E87" w:rsidRDefault="000B2BF4">
            <w:pPr>
              <w:keepNext/>
              <w:keepLines/>
              <w:spacing w:after="0" w:line="240" w:lineRule="auto"/>
              <w:jc w:val="right"/>
            </w:pPr>
            <w:r>
              <w:rPr>
                <w:sz w:val="18"/>
              </w:rPr>
              <w:t>53.561,66</w:t>
            </w:r>
          </w:p>
        </w:tc>
        <w:tc>
          <w:tcPr>
            <w:tcW w:w="700" w:type="dxa"/>
            <w:tcMar>
              <w:top w:w="0" w:type="dxa"/>
              <w:bottom w:w="0" w:type="dxa"/>
            </w:tcMar>
            <w:vAlign w:val="center"/>
          </w:tcPr>
          <w:p w14:paraId="64B1E1CC" w14:textId="77777777" w:rsidR="00BA3E87" w:rsidRDefault="000B2BF4">
            <w:pPr>
              <w:keepNext/>
              <w:keepLines/>
              <w:spacing w:after="0" w:line="240" w:lineRule="auto"/>
              <w:jc w:val="right"/>
            </w:pPr>
            <w:r>
              <w:rPr>
                <w:sz w:val="18"/>
              </w:rPr>
              <w:t>593,1</w:t>
            </w:r>
          </w:p>
        </w:tc>
      </w:tr>
    </w:tbl>
    <w:p w14:paraId="2DD3819F" w14:textId="77777777" w:rsidR="00BA3E87" w:rsidRDefault="00BA3E87">
      <w:pPr>
        <w:spacing w:after="0"/>
      </w:pPr>
    </w:p>
    <w:p w14:paraId="26208CB3" w14:textId="77777777" w:rsidR="00BA3E87" w:rsidRDefault="000B2BF4">
      <w:pPr>
        <w:jc w:val="both"/>
      </w:pPr>
      <w:r>
        <w:t>Veći prihodi od prodaje zemljišta u izvještajnom razdoblju tekuće godine ostvareni su prodajom nekretnina u vlasništvu Republike Hrvatske sukladno Zakonu o upravljanju nekretninama i pokretninama u vlasništvu Republike Hrvatske („Narodne novine“ br. 122/23).</w:t>
      </w:r>
    </w:p>
    <w:p w14:paraId="49C283FF" w14:textId="77777777" w:rsidR="00BA3E87" w:rsidRDefault="00BA3E87"/>
    <w:p w14:paraId="464EA6BA" w14:textId="77777777" w:rsidR="00BA3E87" w:rsidRDefault="000B2BF4">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3C75CF2F" w14:textId="77777777">
        <w:trPr>
          <w:cantSplit/>
        </w:trPr>
        <w:tc>
          <w:tcPr>
            <w:tcW w:w="700" w:type="dxa"/>
            <w:shd w:val="clear" w:color="auto" w:fill="E7F0F9"/>
            <w:tcMar>
              <w:top w:w="0" w:type="dxa"/>
              <w:bottom w:w="0" w:type="dxa"/>
            </w:tcMar>
            <w:vAlign w:val="center"/>
          </w:tcPr>
          <w:p w14:paraId="525F0649"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80FAC2"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20AEF4"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E4B59D"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17FBE3"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27019D" w14:textId="77777777" w:rsidR="00BA3E87" w:rsidRDefault="000B2BF4">
            <w:pPr>
              <w:keepNext/>
              <w:keepLines/>
              <w:spacing w:after="0" w:line="240" w:lineRule="auto"/>
              <w:jc w:val="center"/>
            </w:pPr>
            <w:r>
              <w:rPr>
                <w:b/>
                <w:sz w:val="18"/>
              </w:rPr>
              <w:t>Indeks (%)</w:t>
            </w:r>
          </w:p>
        </w:tc>
      </w:tr>
      <w:tr w:rsidR="00BA3E87" w14:paraId="0CE2D4CE" w14:textId="77777777">
        <w:trPr>
          <w:cantSplit/>
          <w:trHeight w:val="560"/>
        </w:trPr>
        <w:tc>
          <w:tcPr>
            <w:tcW w:w="700" w:type="dxa"/>
            <w:tcMar>
              <w:top w:w="0" w:type="dxa"/>
              <w:bottom w:w="0" w:type="dxa"/>
            </w:tcMar>
            <w:vAlign w:val="center"/>
          </w:tcPr>
          <w:p w14:paraId="0E9A0E2D" w14:textId="77777777" w:rsidR="00BA3E87" w:rsidRDefault="000B2BF4">
            <w:pPr>
              <w:keepNext/>
              <w:keepLines/>
              <w:spacing w:after="0" w:line="240" w:lineRule="auto"/>
            </w:pPr>
            <w:r>
              <w:rPr>
                <w:sz w:val="18"/>
              </w:rPr>
              <w:t>412</w:t>
            </w:r>
          </w:p>
        </w:tc>
        <w:tc>
          <w:tcPr>
            <w:tcW w:w="3180" w:type="dxa"/>
            <w:tcMar>
              <w:top w:w="0" w:type="dxa"/>
              <w:bottom w:w="0" w:type="dxa"/>
            </w:tcMar>
            <w:vAlign w:val="center"/>
          </w:tcPr>
          <w:p w14:paraId="471E8E7E" w14:textId="77777777" w:rsidR="00BA3E87" w:rsidRDefault="000B2BF4">
            <w:pPr>
              <w:keepNext/>
              <w:keepLines/>
              <w:spacing w:after="0" w:line="240" w:lineRule="auto"/>
            </w:pPr>
            <w:r>
              <w:rPr>
                <w:sz w:val="18"/>
              </w:rPr>
              <w:t>Nematerijalna imovina (šifre 4121 do 4126)</w:t>
            </w:r>
          </w:p>
        </w:tc>
        <w:tc>
          <w:tcPr>
            <w:tcW w:w="700" w:type="dxa"/>
            <w:tcMar>
              <w:top w:w="0" w:type="dxa"/>
              <w:bottom w:w="0" w:type="dxa"/>
            </w:tcMar>
            <w:vAlign w:val="center"/>
          </w:tcPr>
          <w:p w14:paraId="7A4D4FD0" w14:textId="77777777" w:rsidR="00BA3E87" w:rsidRDefault="000B2BF4">
            <w:pPr>
              <w:keepNext/>
              <w:keepLines/>
              <w:spacing w:after="0" w:line="240" w:lineRule="auto"/>
            </w:pPr>
            <w:r>
              <w:rPr>
                <w:sz w:val="18"/>
              </w:rPr>
              <w:t>412</w:t>
            </w:r>
          </w:p>
        </w:tc>
        <w:tc>
          <w:tcPr>
            <w:tcW w:w="1860" w:type="dxa"/>
            <w:tcMar>
              <w:top w:w="0" w:type="dxa"/>
              <w:bottom w:w="0" w:type="dxa"/>
            </w:tcMar>
            <w:vAlign w:val="center"/>
          </w:tcPr>
          <w:p w14:paraId="02FBC8D1" w14:textId="77777777" w:rsidR="00BA3E87" w:rsidRDefault="000B2BF4">
            <w:pPr>
              <w:keepNext/>
              <w:keepLines/>
              <w:spacing w:after="0" w:line="240" w:lineRule="auto"/>
              <w:jc w:val="right"/>
            </w:pPr>
            <w:r>
              <w:rPr>
                <w:sz w:val="18"/>
              </w:rPr>
              <w:t>151.361,85</w:t>
            </w:r>
          </w:p>
        </w:tc>
        <w:tc>
          <w:tcPr>
            <w:tcW w:w="1860" w:type="dxa"/>
            <w:tcMar>
              <w:top w:w="0" w:type="dxa"/>
              <w:bottom w:w="0" w:type="dxa"/>
            </w:tcMar>
            <w:vAlign w:val="center"/>
          </w:tcPr>
          <w:p w14:paraId="10539CEC" w14:textId="77777777" w:rsidR="00BA3E87" w:rsidRDefault="000B2BF4">
            <w:pPr>
              <w:keepNext/>
              <w:keepLines/>
              <w:spacing w:after="0" w:line="240" w:lineRule="auto"/>
              <w:jc w:val="right"/>
            </w:pPr>
            <w:r>
              <w:rPr>
                <w:sz w:val="18"/>
              </w:rPr>
              <w:t>4.137.837,17</w:t>
            </w:r>
          </w:p>
        </w:tc>
        <w:tc>
          <w:tcPr>
            <w:tcW w:w="700" w:type="dxa"/>
            <w:tcMar>
              <w:top w:w="0" w:type="dxa"/>
              <w:bottom w:w="0" w:type="dxa"/>
            </w:tcMar>
            <w:vAlign w:val="center"/>
          </w:tcPr>
          <w:p w14:paraId="72B7B68B" w14:textId="77777777" w:rsidR="00BA3E87" w:rsidRDefault="000B2BF4">
            <w:pPr>
              <w:keepNext/>
              <w:keepLines/>
              <w:spacing w:after="0" w:line="240" w:lineRule="auto"/>
              <w:jc w:val="right"/>
            </w:pPr>
            <w:r>
              <w:rPr>
                <w:sz w:val="18"/>
              </w:rPr>
              <w:t>2733,7</w:t>
            </w:r>
          </w:p>
        </w:tc>
      </w:tr>
    </w:tbl>
    <w:p w14:paraId="750AA24C" w14:textId="77777777" w:rsidR="00BA3E87" w:rsidRDefault="00BA3E87">
      <w:pPr>
        <w:spacing w:after="0"/>
      </w:pPr>
    </w:p>
    <w:p w14:paraId="3401380B" w14:textId="77777777" w:rsidR="00BA3E87" w:rsidRDefault="000B2BF4">
      <w:pPr>
        <w:jc w:val="both"/>
      </w:pPr>
      <w:r>
        <w:t xml:space="preserve">U izvještajnom razdoblju tekuće godine unutar ove stavke evidentirani su veći rashodi zbog ulaganja u sklopu EU projekata Arboretum Opeka-održiva zelena destinacija (3.690.711,17 </w:t>
      </w:r>
      <w:r>
        <w:lastRenderedPageBreak/>
        <w:t>eura) i Revitalizacija austrougarskog vojnog konjičkog kompleksa (182.682,99 eura) te izvršene rekonstrukcije atrija Županijske palače (264.443,01 eura).U 2024. godini najveći iznos ovdje evidentiranih rashoda odnosi se na ulaganja u rekonstrukciju atrija i ugradnju ventilacije u podrumu Županijske palače (104.395,80 eura) te na energetsku obnovu zgrade gradske uprave Ludbreg (43.216,05 eura).</w:t>
      </w:r>
    </w:p>
    <w:p w14:paraId="2DCFD058" w14:textId="77777777" w:rsidR="00BA3E87" w:rsidRDefault="00BA3E87"/>
    <w:p w14:paraId="18788B59" w14:textId="77777777" w:rsidR="00BA3E87" w:rsidRDefault="000B2BF4">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0AFA4E3B" w14:textId="77777777">
        <w:trPr>
          <w:cantSplit/>
        </w:trPr>
        <w:tc>
          <w:tcPr>
            <w:tcW w:w="700" w:type="dxa"/>
            <w:shd w:val="clear" w:color="auto" w:fill="E7F0F9"/>
            <w:tcMar>
              <w:top w:w="0" w:type="dxa"/>
              <w:bottom w:w="0" w:type="dxa"/>
            </w:tcMar>
            <w:vAlign w:val="center"/>
          </w:tcPr>
          <w:p w14:paraId="6386A4D4"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6E4E81"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C67D83"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C9CB7B"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8FECB3"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785FA7" w14:textId="77777777" w:rsidR="00BA3E87" w:rsidRDefault="000B2BF4">
            <w:pPr>
              <w:keepNext/>
              <w:keepLines/>
              <w:spacing w:after="0" w:line="240" w:lineRule="auto"/>
              <w:jc w:val="center"/>
            </w:pPr>
            <w:r>
              <w:rPr>
                <w:b/>
                <w:sz w:val="18"/>
              </w:rPr>
              <w:t>Indeks (%)</w:t>
            </w:r>
          </w:p>
        </w:tc>
      </w:tr>
      <w:tr w:rsidR="00BA3E87" w14:paraId="52CB9EE8" w14:textId="77777777">
        <w:trPr>
          <w:cantSplit/>
          <w:trHeight w:val="560"/>
        </w:trPr>
        <w:tc>
          <w:tcPr>
            <w:tcW w:w="700" w:type="dxa"/>
            <w:tcMar>
              <w:top w:w="0" w:type="dxa"/>
              <w:bottom w:w="0" w:type="dxa"/>
            </w:tcMar>
            <w:vAlign w:val="center"/>
          </w:tcPr>
          <w:p w14:paraId="3F97E8A1" w14:textId="77777777" w:rsidR="00BA3E87" w:rsidRDefault="000B2BF4">
            <w:pPr>
              <w:keepNext/>
              <w:keepLines/>
              <w:spacing w:after="0" w:line="240" w:lineRule="auto"/>
            </w:pPr>
            <w:r>
              <w:rPr>
                <w:sz w:val="18"/>
              </w:rPr>
              <w:t>421</w:t>
            </w:r>
          </w:p>
        </w:tc>
        <w:tc>
          <w:tcPr>
            <w:tcW w:w="3180" w:type="dxa"/>
            <w:tcMar>
              <w:top w:w="0" w:type="dxa"/>
              <w:bottom w:w="0" w:type="dxa"/>
            </w:tcMar>
            <w:vAlign w:val="center"/>
          </w:tcPr>
          <w:p w14:paraId="41C42EFF" w14:textId="77777777" w:rsidR="00BA3E87" w:rsidRDefault="000B2BF4">
            <w:pPr>
              <w:keepNext/>
              <w:keepLines/>
              <w:spacing w:after="0" w:line="240" w:lineRule="auto"/>
            </w:pPr>
            <w:r>
              <w:rPr>
                <w:sz w:val="18"/>
              </w:rPr>
              <w:t>Građevinski objekti (šifre 4211 do 4214)</w:t>
            </w:r>
          </w:p>
        </w:tc>
        <w:tc>
          <w:tcPr>
            <w:tcW w:w="700" w:type="dxa"/>
            <w:tcMar>
              <w:top w:w="0" w:type="dxa"/>
              <w:bottom w:w="0" w:type="dxa"/>
            </w:tcMar>
            <w:vAlign w:val="center"/>
          </w:tcPr>
          <w:p w14:paraId="1E4BC38E" w14:textId="77777777" w:rsidR="00BA3E87" w:rsidRDefault="000B2BF4">
            <w:pPr>
              <w:keepNext/>
              <w:keepLines/>
              <w:spacing w:after="0" w:line="240" w:lineRule="auto"/>
            </w:pPr>
            <w:r>
              <w:rPr>
                <w:sz w:val="18"/>
              </w:rPr>
              <w:t>421</w:t>
            </w:r>
          </w:p>
        </w:tc>
        <w:tc>
          <w:tcPr>
            <w:tcW w:w="1860" w:type="dxa"/>
            <w:tcMar>
              <w:top w:w="0" w:type="dxa"/>
              <w:bottom w:w="0" w:type="dxa"/>
            </w:tcMar>
            <w:vAlign w:val="center"/>
          </w:tcPr>
          <w:p w14:paraId="5B99ED09" w14:textId="77777777" w:rsidR="00BA3E87" w:rsidRDefault="000B2BF4">
            <w:pPr>
              <w:keepNext/>
              <w:keepLines/>
              <w:spacing w:after="0" w:line="240" w:lineRule="auto"/>
              <w:jc w:val="right"/>
            </w:pPr>
            <w:r>
              <w:rPr>
                <w:sz w:val="18"/>
              </w:rPr>
              <w:t>260.771,55</w:t>
            </w:r>
          </w:p>
        </w:tc>
        <w:tc>
          <w:tcPr>
            <w:tcW w:w="1860" w:type="dxa"/>
            <w:tcMar>
              <w:top w:w="0" w:type="dxa"/>
              <w:bottom w:w="0" w:type="dxa"/>
            </w:tcMar>
            <w:vAlign w:val="center"/>
          </w:tcPr>
          <w:p w14:paraId="3B2752ED" w14:textId="77777777" w:rsidR="00BA3E87" w:rsidRDefault="000B2BF4">
            <w:pPr>
              <w:keepNext/>
              <w:keepLines/>
              <w:spacing w:after="0" w:line="240" w:lineRule="auto"/>
              <w:jc w:val="right"/>
            </w:pPr>
            <w:r>
              <w:rPr>
                <w:sz w:val="18"/>
              </w:rPr>
              <w:t>0,00</w:t>
            </w:r>
          </w:p>
        </w:tc>
        <w:tc>
          <w:tcPr>
            <w:tcW w:w="700" w:type="dxa"/>
            <w:tcMar>
              <w:top w:w="0" w:type="dxa"/>
              <w:bottom w:w="0" w:type="dxa"/>
            </w:tcMar>
            <w:vAlign w:val="center"/>
          </w:tcPr>
          <w:p w14:paraId="6EA53413" w14:textId="77777777" w:rsidR="00BA3E87" w:rsidRDefault="000B2BF4">
            <w:pPr>
              <w:keepNext/>
              <w:keepLines/>
              <w:spacing w:after="0" w:line="240" w:lineRule="auto"/>
              <w:jc w:val="right"/>
            </w:pPr>
            <w:r>
              <w:rPr>
                <w:sz w:val="18"/>
              </w:rPr>
              <w:t>0</w:t>
            </w:r>
          </w:p>
        </w:tc>
      </w:tr>
    </w:tbl>
    <w:p w14:paraId="689C1A99" w14:textId="77777777" w:rsidR="00BA3E87" w:rsidRDefault="00BA3E87">
      <w:pPr>
        <w:spacing w:after="0"/>
      </w:pPr>
    </w:p>
    <w:p w14:paraId="47B54423" w14:textId="77777777" w:rsidR="00BA3E87" w:rsidRDefault="000B2BF4">
      <w:pPr>
        <w:jc w:val="both"/>
      </w:pPr>
      <w:r>
        <w:t>U izvještajnom razdoblju prethodne godine evidentirana je kupnja dvorca Bela I sa pomoćnom zgradom.</w:t>
      </w:r>
    </w:p>
    <w:p w14:paraId="1003C36A" w14:textId="77777777" w:rsidR="00BA3E87" w:rsidRDefault="00BA3E87"/>
    <w:p w14:paraId="7B6C8508" w14:textId="77777777" w:rsidR="00BA3E87" w:rsidRDefault="000B2BF4">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3084F94D" w14:textId="77777777">
        <w:trPr>
          <w:cantSplit/>
        </w:trPr>
        <w:tc>
          <w:tcPr>
            <w:tcW w:w="700" w:type="dxa"/>
            <w:shd w:val="clear" w:color="auto" w:fill="E7F0F9"/>
            <w:tcMar>
              <w:top w:w="0" w:type="dxa"/>
              <w:bottom w:w="0" w:type="dxa"/>
            </w:tcMar>
            <w:vAlign w:val="center"/>
          </w:tcPr>
          <w:p w14:paraId="0D3887B5"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BAF1B6"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D7AD7B"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2723C4"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941F79"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8835CF" w14:textId="77777777" w:rsidR="00BA3E87" w:rsidRDefault="000B2BF4">
            <w:pPr>
              <w:keepNext/>
              <w:keepLines/>
              <w:spacing w:after="0" w:line="240" w:lineRule="auto"/>
              <w:jc w:val="center"/>
            </w:pPr>
            <w:r>
              <w:rPr>
                <w:b/>
                <w:sz w:val="18"/>
              </w:rPr>
              <w:t>Indeks (%)</w:t>
            </w:r>
          </w:p>
        </w:tc>
      </w:tr>
      <w:tr w:rsidR="00BA3E87" w14:paraId="73CE7731" w14:textId="77777777">
        <w:trPr>
          <w:cantSplit/>
          <w:trHeight w:val="560"/>
        </w:trPr>
        <w:tc>
          <w:tcPr>
            <w:tcW w:w="700" w:type="dxa"/>
            <w:tcMar>
              <w:top w:w="0" w:type="dxa"/>
              <w:bottom w:w="0" w:type="dxa"/>
            </w:tcMar>
            <w:vAlign w:val="center"/>
          </w:tcPr>
          <w:p w14:paraId="785CD42A" w14:textId="77777777" w:rsidR="00BA3E87" w:rsidRDefault="000B2BF4">
            <w:pPr>
              <w:keepNext/>
              <w:keepLines/>
              <w:spacing w:after="0" w:line="240" w:lineRule="auto"/>
            </w:pPr>
            <w:r>
              <w:rPr>
                <w:sz w:val="18"/>
              </w:rPr>
              <w:t>422</w:t>
            </w:r>
          </w:p>
        </w:tc>
        <w:tc>
          <w:tcPr>
            <w:tcW w:w="3180" w:type="dxa"/>
            <w:tcMar>
              <w:top w:w="0" w:type="dxa"/>
              <w:bottom w:w="0" w:type="dxa"/>
            </w:tcMar>
            <w:vAlign w:val="center"/>
          </w:tcPr>
          <w:p w14:paraId="1C443D41" w14:textId="77777777" w:rsidR="00BA3E87" w:rsidRDefault="000B2BF4">
            <w:pPr>
              <w:keepNext/>
              <w:keepLines/>
              <w:spacing w:after="0" w:line="240" w:lineRule="auto"/>
            </w:pPr>
            <w:r>
              <w:rPr>
                <w:sz w:val="18"/>
              </w:rPr>
              <w:t>Postrojenja i oprema (šifre 4221 do 4228)</w:t>
            </w:r>
          </w:p>
        </w:tc>
        <w:tc>
          <w:tcPr>
            <w:tcW w:w="700" w:type="dxa"/>
            <w:tcMar>
              <w:top w:w="0" w:type="dxa"/>
              <w:bottom w:w="0" w:type="dxa"/>
            </w:tcMar>
            <w:vAlign w:val="center"/>
          </w:tcPr>
          <w:p w14:paraId="00EEB2F8" w14:textId="77777777" w:rsidR="00BA3E87" w:rsidRDefault="000B2BF4">
            <w:pPr>
              <w:keepNext/>
              <w:keepLines/>
              <w:spacing w:after="0" w:line="240" w:lineRule="auto"/>
            </w:pPr>
            <w:r>
              <w:rPr>
                <w:sz w:val="18"/>
              </w:rPr>
              <w:t>422</w:t>
            </w:r>
          </w:p>
        </w:tc>
        <w:tc>
          <w:tcPr>
            <w:tcW w:w="1860" w:type="dxa"/>
            <w:tcMar>
              <w:top w:w="0" w:type="dxa"/>
              <w:bottom w:w="0" w:type="dxa"/>
            </w:tcMar>
            <w:vAlign w:val="center"/>
          </w:tcPr>
          <w:p w14:paraId="60548B17" w14:textId="77777777" w:rsidR="00BA3E87" w:rsidRDefault="000B2BF4">
            <w:pPr>
              <w:keepNext/>
              <w:keepLines/>
              <w:spacing w:after="0" w:line="240" w:lineRule="auto"/>
              <w:jc w:val="right"/>
            </w:pPr>
            <w:r>
              <w:rPr>
                <w:sz w:val="18"/>
              </w:rPr>
              <w:t>257.046,63</w:t>
            </w:r>
          </w:p>
        </w:tc>
        <w:tc>
          <w:tcPr>
            <w:tcW w:w="1860" w:type="dxa"/>
            <w:tcMar>
              <w:top w:w="0" w:type="dxa"/>
              <w:bottom w:w="0" w:type="dxa"/>
            </w:tcMar>
            <w:vAlign w:val="center"/>
          </w:tcPr>
          <w:p w14:paraId="2668D7A3" w14:textId="77777777" w:rsidR="00BA3E87" w:rsidRDefault="000B2BF4">
            <w:pPr>
              <w:keepNext/>
              <w:keepLines/>
              <w:spacing w:after="0" w:line="240" w:lineRule="auto"/>
              <w:jc w:val="right"/>
            </w:pPr>
            <w:r>
              <w:rPr>
                <w:sz w:val="18"/>
              </w:rPr>
              <w:t>49.566,59</w:t>
            </w:r>
          </w:p>
        </w:tc>
        <w:tc>
          <w:tcPr>
            <w:tcW w:w="700" w:type="dxa"/>
            <w:tcMar>
              <w:top w:w="0" w:type="dxa"/>
              <w:bottom w:w="0" w:type="dxa"/>
            </w:tcMar>
            <w:vAlign w:val="center"/>
          </w:tcPr>
          <w:p w14:paraId="1F2544D6" w14:textId="77777777" w:rsidR="00BA3E87" w:rsidRDefault="000B2BF4">
            <w:pPr>
              <w:keepNext/>
              <w:keepLines/>
              <w:spacing w:after="0" w:line="240" w:lineRule="auto"/>
              <w:jc w:val="right"/>
            </w:pPr>
            <w:r>
              <w:rPr>
                <w:sz w:val="18"/>
              </w:rPr>
              <w:t>19,3</w:t>
            </w:r>
          </w:p>
        </w:tc>
      </w:tr>
    </w:tbl>
    <w:p w14:paraId="52BF8E82" w14:textId="77777777" w:rsidR="00BA3E87" w:rsidRDefault="00BA3E87">
      <w:pPr>
        <w:spacing w:after="0"/>
      </w:pPr>
    </w:p>
    <w:p w14:paraId="19CAE6DF" w14:textId="77777777" w:rsidR="00BA3E87" w:rsidRDefault="000B2BF4">
      <w:pPr>
        <w:jc w:val="both"/>
      </w:pPr>
      <w:r>
        <w:t>Rashodi za uredsku opremu i namještaj u izvještajnom razdoblju prethodne godine bili su veći ponajviše zbog unutarnjeg uređenja zgrade Vodotornja (156.311,25 eura).</w:t>
      </w:r>
    </w:p>
    <w:p w14:paraId="1807C418" w14:textId="77777777" w:rsidR="00BA3E87" w:rsidRDefault="00BA3E87"/>
    <w:p w14:paraId="7CFA8057" w14:textId="77777777" w:rsidR="00BA3E87" w:rsidRDefault="000B2BF4">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1C9DF1CE" w14:textId="77777777">
        <w:trPr>
          <w:cantSplit/>
        </w:trPr>
        <w:tc>
          <w:tcPr>
            <w:tcW w:w="700" w:type="dxa"/>
            <w:shd w:val="clear" w:color="auto" w:fill="E7F0F9"/>
            <w:tcMar>
              <w:top w:w="0" w:type="dxa"/>
              <w:bottom w:w="0" w:type="dxa"/>
            </w:tcMar>
            <w:vAlign w:val="center"/>
          </w:tcPr>
          <w:p w14:paraId="311A8F94"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02F1E9"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076CFC"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ECC441"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31E11B"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95C471" w14:textId="77777777" w:rsidR="00BA3E87" w:rsidRDefault="000B2BF4">
            <w:pPr>
              <w:keepNext/>
              <w:keepLines/>
              <w:spacing w:after="0" w:line="240" w:lineRule="auto"/>
              <w:jc w:val="center"/>
            </w:pPr>
            <w:r>
              <w:rPr>
                <w:b/>
                <w:sz w:val="18"/>
              </w:rPr>
              <w:t>Indeks (%)</w:t>
            </w:r>
          </w:p>
        </w:tc>
      </w:tr>
      <w:tr w:rsidR="00BA3E87" w14:paraId="0B8126DD" w14:textId="77777777">
        <w:trPr>
          <w:cantSplit/>
          <w:trHeight w:val="560"/>
        </w:trPr>
        <w:tc>
          <w:tcPr>
            <w:tcW w:w="700" w:type="dxa"/>
            <w:tcMar>
              <w:top w:w="0" w:type="dxa"/>
              <w:bottom w:w="0" w:type="dxa"/>
            </w:tcMar>
            <w:vAlign w:val="center"/>
          </w:tcPr>
          <w:p w14:paraId="72521BA3" w14:textId="77777777" w:rsidR="00BA3E87" w:rsidRDefault="000B2BF4">
            <w:pPr>
              <w:keepNext/>
              <w:keepLines/>
              <w:spacing w:after="0" w:line="240" w:lineRule="auto"/>
            </w:pPr>
            <w:r>
              <w:rPr>
                <w:sz w:val="18"/>
              </w:rPr>
              <w:t>451</w:t>
            </w:r>
          </w:p>
        </w:tc>
        <w:tc>
          <w:tcPr>
            <w:tcW w:w="3180" w:type="dxa"/>
            <w:tcMar>
              <w:top w:w="0" w:type="dxa"/>
              <w:bottom w:w="0" w:type="dxa"/>
            </w:tcMar>
            <w:vAlign w:val="center"/>
          </w:tcPr>
          <w:p w14:paraId="52FB3812" w14:textId="77777777" w:rsidR="00BA3E87" w:rsidRDefault="000B2BF4">
            <w:pPr>
              <w:keepNext/>
              <w:keepLines/>
              <w:spacing w:after="0" w:line="240" w:lineRule="auto"/>
            </w:pPr>
            <w:r>
              <w:rPr>
                <w:sz w:val="18"/>
              </w:rPr>
              <w:t>Dodatna ulaganja na građevinskim objektima</w:t>
            </w:r>
          </w:p>
        </w:tc>
        <w:tc>
          <w:tcPr>
            <w:tcW w:w="700" w:type="dxa"/>
            <w:tcMar>
              <w:top w:w="0" w:type="dxa"/>
              <w:bottom w:w="0" w:type="dxa"/>
            </w:tcMar>
            <w:vAlign w:val="center"/>
          </w:tcPr>
          <w:p w14:paraId="0AA2EE1F" w14:textId="77777777" w:rsidR="00BA3E87" w:rsidRDefault="000B2BF4">
            <w:pPr>
              <w:keepNext/>
              <w:keepLines/>
              <w:spacing w:after="0" w:line="240" w:lineRule="auto"/>
            </w:pPr>
            <w:r>
              <w:rPr>
                <w:sz w:val="18"/>
              </w:rPr>
              <w:t>451</w:t>
            </w:r>
          </w:p>
        </w:tc>
        <w:tc>
          <w:tcPr>
            <w:tcW w:w="1860" w:type="dxa"/>
            <w:tcMar>
              <w:top w:w="0" w:type="dxa"/>
              <w:bottom w:w="0" w:type="dxa"/>
            </w:tcMar>
            <w:vAlign w:val="center"/>
          </w:tcPr>
          <w:p w14:paraId="2795DE19" w14:textId="77777777" w:rsidR="00BA3E87" w:rsidRDefault="000B2BF4">
            <w:pPr>
              <w:keepNext/>
              <w:keepLines/>
              <w:spacing w:after="0" w:line="240" w:lineRule="auto"/>
              <w:jc w:val="right"/>
            </w:pPr>
            <w:r>
              <w:rPr>
                <w:sz w:val="18"/>
              </w:rPr>
              <w:t>592.695,52</w:t>
            </w:r>
          </w:p>
        </w:tc>
        <w:tc>
          <w:tcPr>
            <w:tcW w:w="1860" w:type="dxa"/>
            <w:tcMar>
              <w:top w:w="0" w:type="dxa"/>
              <w:bottom w:w="0" w:type="dxa"/>
            </w:tcMar>
            <w:vAlign w:val="center"/>
          </w:tcPr>
          <w:p w14:paraId="3B763FD2" w14:textId="77777777" w:rsidR="00BA3E87" w:rsidRDefault="000B2BF4">
            <w:pPr>
              <w:keepNext/>
              <w:keepLines/>
              <w:spacing w:after="0" w:line="240" w:lineRule="auto"/>
              <w:jc w:val="right"/>
            </w:pPr>
            <w:r>
              <w:rPr>
                <w:sz w:val="18"/>
              </w:rPr>
              <w:t>1.835.369,40</w:t>
            </w:r>
          </w:p>
        </w:tc>
        <w:tc>
          <w:tcPr>
            <w:tcW w:w="700" w:type="dxa"/>
            <w:tcMar>
              <w:top w:w="0" w:type="dxa"/>
              <w:bottom w:w="0" w:type="dxa"/>
            </w:tcMar>
            <w:vAlign w:val="center"/>
          </w:tcPr>
          <w:p w14:paraId="427B33DB" w14:textId="77777777" w:rsidR="00BA3E87" w:rsidRDefault="000B2BF4">
            <w:pPr>
              <w:keepNext/>
              <w:keepLines/>
              <w:spacing w:after="0" w:line="240" w:lineRule="auto"/>
              <w:jc w:val="right"/>
            </w:pPr>
            <w:r>
              <w:rPr>
                <w:sz w:val="18"/>
              </w:rPr>
              <w:t>309,7</w:t>
            </w:r>
          </w:p>
        </w:tc>
      </w:tr>
    </w:tbl>
    <w:p w14:paraId="74BC98A4" w14:textId="77777777" w:rsidR="00BA3E87" w:rsidRDefault="00BA3E87">
      <w:pPr>
        <w:spacing w:after="0"/>
      </w:pPr>
    </w:p>
    <w:p w14:paraId="0238B9CD" w14:textId="77777777" w:rsidR="00BA3E87" w:rsidRDefault="000B2BF4">
      <w:pPr>
        <w:jc w:val="both"/>
      </w:pPr>
      <w:r>
        <w:t>U izvještajnom razdoblju tekuće godine najveći iznos ulaganja odnosi se na EU projekt Energetske obnove upravne zgrade u Ivancu (867.058,35 eura) i na ulaganje u energetsku obnovu upravne zgrade u Novom Marofu (817.346,05 eura). U izvještajnom razdoblju prethodne godine evidentirana ulaganja najvećim dijelom odnose se na sanaciju zgrade upravitelja kompleksa Šaulovec i dvorca Šaulovec (528.085,52 eura), a evidentirana je i ugradnja ankera /sidra i snjegobrana na krovu zgrade Vodotornja.</w:t>
      </w:r>
    </w:p>
    <w:p w14:paraId="553CA871" w14:textId="77777777" w:rsidR="00BA3E87" w:rsidRDefault="00BA3E87"/>
    <w:p w14:paraId="1316CF06" w14:textId="77777777" w:rsidR="00BA3E87" w:rsidRDefault="000B2BF4">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37410FD2" w14:textId="77777777">
        <w:trPr>
          <w:cantSplit/>
        </w:trPr>
        <w:tc>
          <w:tcPr>
            <w:tcW w:w="700" w:type="dxa"/>
            <w:shd w:val="clear" w:color="auto" w:fill="E7F0F9"/>
            <w:tcMar>
              <w:top w:w="0" w:type="dxa"/>
              <w:bottom w:w="0" w:type="dxa"/>
            </w:tcMar>
            <w:vAlign w:val="center"/>
          </w:tcPr>
          <w:p w14:paraId="6D10C6BC"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A504EC"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BA977E"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529ABC"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06EF97"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227722" w14:textId="77777777" w:rsidR="00BA3E87" w:rsidRDefault="000B2BF4">
            <w:pPr>
              <w:keepNext/>
              <w:keepLines/>
              <w:spacing w:after="0" w:line="240" w:lineRule="auto"/>
              <w:jc w:val="center"/>
            </w:pPr>
            <w:r>
              <w:rPr>
                <w:b/>
                <w:sz w:val="18"/>
              </w:rPr>
              <w:t>Indeks (%)</w:t>
            </w:r>
          </w:p>
        </w:tc>
      </w:tr>
      <w:tr w:rsidR="00BA3E87" w14:paraId="00BA3793" w14:textId="77777777">
        <w:trPr>
          <w:cantSplit/>
          <w:trHeight w:val="560"/>
        </w:trPr>
        <w:tc>
          <w:tcPr>
            <w:tcW w:w="700" w:type="dxa"/>
            <w:tcMar>
              <w:top w:w="0" w:type="dxa"/>
              <w:bottom w:w="0" w:type="dxa"/>
            </w:tcMar>
            <w:vAlign w:val="center"/>
          </w:tcPr>
          <w:p w14:paraId="5608B52B" w14:textId="77777777" w:rsidR="00BA3E87" w:rsidRDefault="000B2BF4">
            <w:pPr>
              <w:keepNext/>
              <w:keepLines/>
              <w:spacing w:after="0" w:line="240" w:lineRule="auto"/>
            </w:pPr>
            <w:r>
              <w:rPr>
                <w:sz w:val="18"/>
              </w:rPr>
              <w:t>814</w:t>
            </w:r>
          </w:p>
        </w:tc>
        <w:tc>
          <w:tcPr>
            <w:tcW w:w="3180" w:type="dxa"/>
            <w:tcMar>
              <w:top w:w="0" w:type="dxa"/>
              <w:bottom w:w="0" w:type="dxa"/>
            </w:tcMar>
            <w:vAlign w:val="center"/>
          </w:tcPr>
          <w:p w14:paraId="271B1035" w14:textId="77777777" w:rsidR="00BA3E87" w:rsidRDefault="000B2BF4">
            <w:pPr>
              <w:keepNext/>
              <w:keepLines/>
              <w:spacing w:after="0" w:line="240" w:lineRule="auto"/>
            </w:pPr>
            <w:r>
              <w:rPr>
                <w:sz w:val="18"/>
              </w:rPr>
              <w:t>Primici (povrati) glavnice zajmova danih trgovačkim društvima u javnom sektoru</w:t>
            </w:r>
          </w:p>
        </w:tc>
        <w:tc>
          <w:tcPr>
            <w:tcW w:w="700" w:type="dxa"/>
            <w:tcMar>
              <w:top w:w="0" w:type="dxa"/>
              <w:bottom w:w="0" w:type="dxa"/>
            </w:tcMar>
            <w:vAlign w:val="center"/>
          </w:tcPr>
          <w:p w14:paraId="54499612" w14:textId="77777777" w:rsidR="00BA3E87" w:rsidRDefault="000B2BF4">
            <w:pPr>
              <w:keepNext/>
              <w:keepLines/>
              <w:spacing w:after="0" w:line="240" w:lineRule="auto"/>
            </w:pPr>
            <w:r>
              <w:rPr>
                <w:sz w:val="18"/>
              </w:rPr>
              <w:t>814</w:t>
            </w:r>
          </w:p>
        </w:tc>
        <w:tc>
          <w:tcPr>
            <w:tcW w:w="1860" w:type="dxa"/>
            <w:tcMar>
              <w:top w:w="0" w:type="dxa"/>
              <w:bottom w:w="0" w:type="dxa"/>
            </w:tcMar>
            <w:vAlign w:val="center"/>
          </w:tcPr>
          <w:p w14:paraId="260F220F" w14:textId="77777777" w:rsidR="00BA3E87" w:rsidRDefault="000B2BF4">
            <w:pPr>
              <w:keepNext/>
              <w:keepLines/>
              <w:spacing w:after="0" w:line="240" w:lineRule="auto"/>
              <w:jc w:val="right"/>
            </w:pPr>
            <w:r>
              <w:rPr>
                <w:sz w:val="18"/>
              </w:rPr>
              <w:t>0,00</w:t>
            </w:r>
          </w:p>
        </w:tc>
        <w:tc>
          <w:tcPr>
            <w:tcW w:w="1860" w:type="dxa"/>
            <w:tcMar>
              <w:top w:w="0" w:type="dxa"/>
              <w:bottom w:w="0" w:type="dxa"/>
            </w:tcMar>
            <w:vAlign w:val="center"/>
          </w:tcPr>
          <w:p w14:paraId="2D9A540B" w14:textId="77777777" w:rsidR="00BA3E87" w:rsidRDefault="000B2BF4">
            <w:pPr>
              <w:keepNext/>
              <w:keepLines/>
              <w:spacing w:after="0" w:line="240" w:lineRule="auto"/>
              <w:jc w:val="right"/>
            </w:pPr>
            <w:r>
              <w:rPr>
                <w:sz w:val="18"/>
              </w:rPr>
              <w:t>489.773,66</w:t>
            </w:r>
          </w:p>
        </w:tc>
        <w:tc>
          <w:tcPr>
            <w:tcW w:w="700" w:type="dxa"/>
            <w:tcMar>
              <w:top w:w="0" w:type="dxa"/>
              <w:bottom w:w="0" w:type="dxa"/>
            </w:tcMar>
            <w:vAlign w:val="center"/>
          </w:tcPr>
          <w:p w14:paraId="1497057D" w14:textId="77777777" w:rsidR="00BA3E87" w:rsidRDefault="000B2BF4">
            <w:pPr>
              <w:keepNext/>
              <w:keepLines/>
              <w:spacing w:after="0" w:line="240" w:lineRule="auto"/>
              <w:jc w:val="right"/>
            </w:pPr>
            <w:r>
              <w:rPr>
                <w:sz w:val="18"/>
              </w:rPr>
              <w:t>-</w:t>
            </w:r>
          </w:p>
        </w:tc>
      </w:tr>
    </w:tbl>
    <w:p w14:paraId="02F2A77F" w14:textId="77777777" w:rsidR="00BA3E87" w:rsidRDefault="00BA3E87">
      <w:pPr>
        <w:spacing w:after="0"/>
      </w:pPr>
    </w:p>
    <w:p w14:paraId="3210633E" w14:textId="77777777" w:rsidR="00BA3E87" w:rsidRDefault="000B2BF4">
      <w:pPr>
        <w:jc w:val="both"/>
      </w:pPr>
      <w:r>
        <w:t>U izvještajnom razdoblju tekuće godine evidentiran je povrat sredstava GARA-e iz programa Jamstvenog fonda za prerađivačku industriju i inovacije u prerađivačkoj industriji za 2014. godinu.</w:t>
      </w:r>
    </w:p>
    <w:p w14:paraId="39BC1807" w14:textId="77777777" w:rsidR="00BA3E87" w:rsidRDefault="00BA3E87"/>
    <w:p w14:paraId="7FF28F35" w14:textId="77777777" w:rsidR="00BA3E87" w:rsidRDefault="000B2BF4">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49280668" w14:textId="77777777">
        <w:trPr>
          <w:cantSplit/>
        </w:trPr>
        <w:tc>
          <w:tcPr>
            <w:tcW w:w="700" w:type="dxa"/>
            <w:shd w:val="clear" w:color="auto" w:fill="E7F0F9"/>
            <w:tcMar>
              <w:top w:w="0" w:type="dxa"/>
              <w:bottom w:w="0" w:type="dxa"/>
            </w:tcMar>
            <w:vAlign w:val="center"/>
          </w:tcPr>
          <w:p w14:paraId="176CD181"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ADEF0C"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B86724"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59AA5E"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E9AD44"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A8F0BC" w14:textId="77777777" w:rsidR="00BA3E87" w:rsidRDefault="000B2BF4">
            <w:pPr>
              <w:keepNext/>
              <w:keepLines/>
              <w:spacing w:after="0" w:line="240" w:lineRule="auto"/>
              <w:jc w:val="center"/>
            </w:pPr>
            <w:r>
              <w:rPr>
                <w:b/>
                <w:sz w:val="18"/>
              </w:rPr>
              <w:t>Indeks (%)</w:t>
            </w:r>
          </w:p>
        </w:tc>
      </w:tr>
      <w:tr w:rsidR="00BA3E87" w14:paraId="6E8E1FF1" w14:textId="77777777">
        <w:trPr>
          <w:cantSplit/>
          <w:trHeight w:val="560"/>
        </w:trPr>
        <w:tc>
          <w:tcPr>
            <w:tcW w:w="700" w:type="dxa"/>
            <w:tcMar>
              <w:top w:w="0" w:type="dxa"/>
              <w:bottom w:w="0" w:type="dxa"/>
            </w:tcMar>
            <w:vAlign w:val="center"/>
          </w:tcPr>
          <w:p w14:paraId="1F8AA0C5" w14:textId="77777777" w:rsidR="00BA3E87" w:rsidRDefault="000B2BF4">
            <w:pPr>
              <w:keepNext/>
              <w:keepLines/>
              <w:spacing w:after="0" w:line="240" w:lineRule="auto"/>
            </w:pPr>
            <w:r>
              <w:rPr>
                <w:sz w:val="18"/>
              </w:rPr>
              <w:t>844</w:t>
            </w:r>
          </w:p>
        </w:tc>
        <w:tc>
          <w:tcPr>
            <w:tcW w:w="3180" w:type="dxa"/>
            <w:tcMar>
              <w:top w:w="0" w:type="dxa"/>
              <w:bottom w:w="0" w:type="dxa"/>
            </w:tcMar>
            <w:vAlign w:val="center"/>
          </w:tcPr>
          <w:p w14:paraId="24467478" w14:textId="77777777" w:rsidR="00BA3E87" w:rsidRDefault="000B2BF4">
            <w:pPr>
              <w:keepNext/>
              <w:keepLines/>
              <w:spacing w:after="0" w:line="240" w:lineRule="auto"/>
            </w:pPr>
            <w:r>
              <w:rPr>
                <w:sz w:val="18"/>
              </w:rPr>
              <w:t>Primljeni krediti i zajmovi od kreditnih i ostalih financijskih institucija izvan javnog sektora (šifre 8443 do 8448)</w:t>
            </w:r>
          </w:p>
        </w:tc>
        <w:tc>
          <w:tcPr>
            <w:tcW w:w="700" w:type="dxa"/>
            <w:tcMar>
              <w:top w:w="0" w:type="dxa"/>
              <w:bottom w:w="0" w:type="dxa"/>
            </w:tcMar>
            <w:vAlign w:val="center"/>
          </w:tcPr>
          <w:p w14:paraId="3DEEDD56" w14:textId="77777777" w:rsidR="00BA3E87" w:rsidRDefault="000B2BF4">
            <w:pPr>
              <w:keepNext/>
              <w:keepLines/>
              <w:spacing w:after="0" w:line="240" w:lineRule="auto"/>
            </w:pPr>
            <w:r>
              <w:rPr>
                <w:sz w:val="18"/>
              </w:rPr>
              <w:t>844</w:t>
            </w:r>
          </w:p>
        </w:tc>
        <w:tc>
          <w:tcPr>
            <w:tcW w:w="1860" w:type="dxa"/>
            <w:tcMar>
              <w:top w:w="0" w:type="dxa"/>
              <w:bottom w:w="0" w:type="dxa"/>
            </w:tcMar>
            <w:vAlign w:val="center"/>
          </w:tcPr>
          <w:p w14:paraId="0FADF97F" w14:textId="77777777" w:rsidR="00BA3E87" w:rsidRDefault="000B2BF4">
            <w:pPr>
              <w:keepNext/>
              <w:keepLines/>
              <w:spacing w:after="0" w:line="240" w:lineRule="auto"/>
              <w:jc w:val="right"/>
            </w:pPr>
            <w:r>
              <w:rPr>
                <w:sz w:val="18"/>
              </w:rPr>
              <w:t>156.311,25</w:t>
            </w:r>
          </w:p>
        </w:tc>
        <w:tc>
          <w:tcPr>
            <w:tcW w:w="1860" w:type="dxa"/>
            <w:tcMar>
              <w:top w:w="0" w:type="dxa"/>
              <w:bottom w:w="0" w:type="dxa"/>
            </w:tcMar>
            <w:vAlign w:val="center"/>
          </w:tcPr>
          <w:p w14:paraId="20493B08" w14:textId="77777777" w:rsidR="00BA3E87" w:rsidRDefault="000B2BF4">
            <w:pPr>
              <w:keepNext/>
              <w:keepLines/>
              <w:spacing w:after="0" w:line="240" w:lineRule="auto"/>
              <w:jc w:val="right"/>
            </w:pPr>
            <w:r>
              <w:rPr>
                <w:sz w:val="18"/>
              </w:rPr>
              <w:t>0,00</w:t>
            </w:r>
          </w:p>
        </w:tc>
        <w:tc>
          <w:tcPr>
            <w:tcW w:w="700" w:type="dxa"/>
            <w:tcMar>
              <w:top w:w="0" w:type="dxa"/>
              <w:bottom w:w="0" w:type="dxa"/>
            </w:tcMar>
            <w:vAlign w:val="center"/>
          </w:tcPr>
          <w:p w14:paraId="346A56BB" w14:textId="77777777" w:rsidR="00BA3E87" w:rsidRDefault="000B2BF4">
            <w:pPr>
              <w:keepNext/>
              <w:keepLines/>
              <w:spacing w:after="0" w:line="240" w:lineRule="auto"/>
              <w:jc w:val="right"/>
            </w:pPr>
            <w:r>
              <w:rPr>
                <w:sz w:val="18"/>
              </w:rPr>
              <w:t>0</w:t>
            </w:r>
          </w:p>
        </w:tc>
      </w:tr>
    </w:tbl>
    <w:p w14:paraId="5D6C62DA" w14:textId="77777777" w:rsidR="00BA3E87" w:rsidRDefault="00BA3E87">
      <w:pPr>
        <w:spacing w:after="0"/>
      </w:pPr>
    </w:p>
    <w:p w14:paraId="22191A3E" w14:textId="77777777" w:rsidR="00BA3E87" w:rsidRDefault="000B2BF4">
      <w:pPr>
        <w:jc w:val="both"/>
      </w:pPr>
      <w:r>
        <w:t>U izvještajnom razdoblju prethodne godine evidentiran je primitak po dugoročnom kreditu Privredne banke Zagreb d.d. za uređenje zgrade Vodotornja.</w:t>
      </w:r>
    </w:p>
    <w:p w14:paraId="38107638" w14:textId="77777777" w:rsidR="00BA3E87" w:rsidRDefault="00BA3E87"/>
    <w:p w14:paraId="6A9416EF" w14:textId="77777777" w:rsidR="00BA3E87" w:rsidRDefault="000B2BF4">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64FFB5A4" w14:textId="77777777">
        <w:trPr>
          <w:cantSplit/>
        </w:trPr>
        <w:tc>
          <w:tcPr>
            <w:tcW w:w="700" w:type="dxa"/>
            <w:shd w:val="clear" w:color="auto" w:fill="E7F0F9"/>
            <w:tcMar>
              <w:top w:w="0" w:type="dxa"/>
              <w:bottom w:w="0" w:type="dxa"/>
            </w:tcMar>
            <w:vAlign w:val="center"/>
          </w:tcPr>
          <w:p w14:paraId="4E40D1CC"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BD6C6E"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F59254"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FB563D"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284511"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EE6E06" w14:textId="77777777" w:rsidR="00BA3E87" w:rsidRDefault="000B2BF4">
            <w:pPr>
              <w:keepNext/>
              <w:keepLines/>
              <w:spacing w:after="0" w:line="240" w:lineRule="auto"/>
              <w:jc w:val="center"/>
            </w:pPr>
            <w:r>
              <w:rPr>
                <w:b/>
                <w:sz w:val="18"/>
              </w:rPr>
              <w:t>Indeks (%)</w:t>
            </w:r>
          </w:p>
        </w:tc>
      </w:tr>
      <w:tr w:rsidR="00BA3E87" w14:paraId="64474633" w14:textId="77777777">
        <w:trPr>
          <w:cantSplit/>
          <w:trHeight w:val="560"/>
        </w:trPr>
        <w:tc>
          <w:tcPr>
            <w:tcW w:w="700" w:type="dxa"/>
            <w:tcMar>
              <w:top w:w="0" w:type="dxa"/>
              <w:bottom w:w="0" w:type="dxa"/>
            </w:tcMar>
            <w:vAlign w:val="center"/>
          </w:tcPr>
          <w:p w14:paraId="40E85023" w14:textId="77777777" w:rsidR="00BA3E87" w:rsidRDefault="000B2BF4">
            <w:pPr>
              <w:keepNext/>
              <w:keepLines/>
              <w:spacing w:after="0" w:line="240" w:lineRule="auto"/>
            </w:pPr>
            <w:r>
              <w:rPr>
                <w:sz w:val="18"/>
              </w:rPr>
              <w:t>532</w:t>
            </w:r>
          </w:p>
        </w:tc>
        <w:tc>
          <w:tcPr>
            <w:tcW w:w="3180" w:type="dxa"/>
            <w:tcMar>
              <w:top w:w="0" w:type="dxa"/>
              <w:bottom w:w="0" w:type="dxa"/>
            </w:tcMar>
            <w:vAlign w:val="center"/>
          </w:tcPr>
          <w:p w14:paraId="2B571659" w14:textId="77777777" w:rsidR="00BA3E87" w:rsidRDefault="000B2BF4">
            <w:pPr>
              <w:keepNext/>
              <w:keepLines/>
              <w:spacing w:after="0" w:line="240" w:lineRule="auto"/>
            </w:pPr>
            <w:r>
              <w:rPr>
                <w:sz w:val="18"/>
              </w:rPr>
              <w:t>Izdaci za ulaganja u dionice i udjele u glavnici trgovačkih društava u javnom sektoru (šifra 5321)</w:t>
            </w:r>
          </w:p>
        </w:tc>
        <w:tc>
          <w:tcPr>
            <w:tcW w:w="700" w:type="dxa"/>
            <w:tcMar>
              <w:top w:w="0" w:type="dxa"/>
              <w:bottom w:w="0" w:type="dxa"/>
            </w:tcMar>
            <w:vAlign w:val="center"/>
          </w:tcPr>
          <w:p w14:paraId="470120AF" w14:textId="77777777" w:rsidR="00BA3E87" w:rsidRDefault="000B2BF4">
            <w:pPr>
              <w:keepNext/>
              <w:keepLines/>
              <w:spacing w:after="0" w:line="240" w:lineRule="auto"/>
            </w:pPr>
            <w:r>
              <w:rPr>
                <w:sz w:val="18"/>
              </w:rPr>
              <w:t>532</w:t>
            </w:r>
          </w:p>
        </w:tc>
        <w:tc>
          <w:tcPr>
            <w:tcW w:w="1860" w:type="dxa"/>
            <w:tcMar>
              <w:top w:w="0" w:type="dxa"/>
              <w:bottom w:w="0" w:type="dxa"/>
            </w:tcMar>
            <w:vAlign w:val="center"/>
          </w:tcPr>
          <w:p w14:paraId="114FB6F0" w14:textId="77777777" w:rsidR="00BA3E87" w:rsidRDefault="000B2BF4">
            <w:pPr>
              <w:keepNext/>
              <w:keepLines/>
              <w:spacing w:after="0" w:line="240" w:lineRule="auto"/>
              <w:jc w:val="right"/>
            </w:pPr>
            <w:r>
              <w:rPr>
                <w:sz w:val="18"/>
              </w:rPr>
              <w:t>0,00</w:t>
            </w:r>
          </w:p>
        </w:tc>
        <w:tc>
          <w:tcPr>
            <w:tcW w:w="1860" w:type="dxa"/>
            <w:tcMar>
              <w:top w:w="0" w:type="dxa"/>
              <w:bottom w:w="0" w:type="dxa"/>
            </w:tcMar>
            <w:vAlign w:val="center"/>
          </w:tcPr>
          <w:p w14:paraId="3A29D51A" w14:textId="77777777" w:rsidR="00BA3E87" w:rsidRDefault="000B2BF4">
            <w:pPr>
              <w:keepNext/>
              <w:keepLines/>
              <w:spacing w:after="0" w:line="240" w:lineRule="auto"/>
              <w:jc w:val="right"/>
            </w:pPr>
            <w:r>
              <w:rPr>
                <w:sz w:val="18"/>
              </w:rPr>
              <w:t>660.000,00</w:t>
            </w:r>
          </w:p>
        </w:tc>
        <w:tc>
          <w:tcPr>
            <w:tcW w:w="700" w:type="dxa"/>
            <w:tcMar>
              <w:top w:w="0" w:type="dxa"/>
              <w:bottom w:w="0" w:type="dxa"/>
            </w:tcMar>
            <w:vAlign w:val="center"/>
          </w:tcPr>
          <w:p w14:paraId="71E11DF5" w14:textId="77777777" w:rsidR="00BA3E87" w:rsidRDefault="000B2BF4">
            <w:pPr>
              <w:keepNext/>
              <w:keepLines/>
              <w:spacing w:after="0" w:line="240" w:lineRule="auto"/>
              <w:jc w:val="right"/>
            </w:pPr>
            <w:r>
              <w:rPr>
                <w:sz w:val="18"/>
              </w:rPr>
              <w:t>-</w:t>
            </w:r>
          </w:p>
        </w:tc>
      </w:tr>
    </w:tbl>
    <w:p w14:paraId="1D5CF8A8" w14:textId="77777777" w:rsidR="00BA3E87" w:rsidRDefault="00BA3E87">
      <w:pPr>
        <w:spacing w:after="0"/>
      </w:pPr>
    </w:p>
    <w:p w14:paraId="12BC0E9D" w14:textId="77777777" w:rsidR="00BA3E87" w:rsidRDefault="000B2BF4">
      <w:pPr>
        <w:jc w:val="both"/>
      </w:pPr>
      <w:r>
        <w:t>U izvještajnom razdoblju tekuće godine izdatak se odnosi na povećanje temeljnog kapitala društva Bukotermal d.o.o..</w:t>
      </w:r>
    </w:p>
    <w:p w14:paraId="53895EBF" w14:textId="77777777" w:rsidR="00BA3E87" w:rsidRDefault="00BA3E87"/>
    <w:p w14:paraId="5804AAB0" w14:textId="77777777" w:rsidR="00BA3E87" w:rsidRDefault="000B2BF4">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42D27C8C" w14:textId="77777777">
        <w:trPr>
          <w:cantSplit/>
        </w:trPr>
        <w:tc>
          <w:tcPr>
            <w:tcW w:w="700" w:type="dxa"/>
            <w:shd w:val="clear" w:color="auto" w:fill="E7F0F9"/>
            <w:tcMar>
              <w:top w:w="0" w:type="dxa"/>
              <w:bottom w:w="0" w:type="dxa"/>
            </w:tcMar>
            <w:vAlign w:val="center"/>
          </w:tcPr>
          <w:p w14:paraId="461511F5"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5EACB0"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396C2"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8B5A82" w14:textId="77777777" w:rsidR="00BA3E87" w:rsidRDefault="000B2BF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1BF262" w14:textId="77777777" w:rsidR="00BA3E87" w:rsidRDefault="000B2BF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2E8C8C" w14:textId="77777777" w:rsidR="00BA3E87" w:rsidRDefault="000B2BF4">
            <w:pPr>
              <w:keepNext/>
              <w:keepLines/>
              <w:spacing w:after="0" w:line="240" w:lineRule="auto"/>
              <w:jc w:val="center"/>
            </w:pPr>
            <w:r>
              <w:rPr>
                <w:b/>
                <w:sz w:val="18"/>
              </w:rPr>
              <w:t>Indeks (%)</w:t>
            </w:r>
          </w:p>
        </w:tc>
      </w:tr>
      <w:tr w:rsidR="00BA3E87" w14:paraId="4BA1C69C" w14:textId="77777777">
        <w:trPr>
          <w:cantSplit/>
          <w:trHeight w:val="560"/>
        </w:trPr>
        <w:tc>
          <w:tcPr>
            <w:tcW w:w="700" w:type="dxa"/>
            <w:tcMar>
              <w:top w:w="0" w:type="dxa"/>
              <w:bottom w:w="0" w:type="dxa"/>
            </w:tcMar>
            <w:vAlign w:val="center"/>
          </w:tcPr>
          <w:p w14:paraId="2000EEB6" w14:textId="77777777" w:rsidR="00BA3E87" w:rsidRDefault="000B2BF4">
            <w:pPr>
              <w:keepNext/>
              <w:keepLines/>
              <w:spacing w:after="0" w:line="240" w:lineRule="auto"/>
            </w:pPr>
            <w:r>
              <w:rPr>
                <w:sz w:val="18"/>
              </w:rPr>
              <w:t>9221-9222</w:t>
            </w:r>
          </w:p>
        </w:tc>
        <w:tc>
          <w:tcPr>
            <w:tcW w:w="3180" w:type="dxa"/>
            <w:tcMar>
              <w:top w:w="0" w:type="dxa"/>
              <w:bottom w:w="0" w:type="dxa"/>
            </w:tcMar>
            <w:vAlign w:val="center"/>
          </w:tcPr>
          <w:p w14:paraId="5ED28C84" w14:textId="77777777" w:rsidR="00BA3E87" w:rsidRDefault="000B2BF4">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4E6579F8" w14:textId="77777777" w:rsidR="00BA3E87" w:rsidRDefault="000B2BF4">
            <w:pPr>
              <w:keepNext/>
              <w:keepLines/>
              <w:spacing w:after="0" w:line="240" w:lineRule="auto"/>
            </w:pPr>
            <w:r>
              <w:rPr>
                <w:sz w:val="18"/>
              </w:rPr>
              <w:t>9221-9222</w:t>
            </w:r>
          </w:p>
        </w:tc>
        <w:tc>
          <w:tcPr>
            <w:tcW w:w="1860" w:type="dxa"/>
            <w:tcMar>
              <w:top w:w="0" w:type="dxa"/>
              <w:bottom w:w="0" w:type="dxa"/>
            </w:tcMar>
            <w:vAlign w:val="center"/>
          </w:tcPr>
          <w:p w14:paraId="26050D04" w14:textId="77777777" w:rsidR="00BA3E87" w:rsidRDefault="000B2BF4">
            <w:pPr>
              <w:keepNext/>
              <w:keepLines/>
              <w:spacing w:after="0" w:line="240" w:lineRule="auto"/>
              <w:jc w:val="right"/>
            </w:pPr>
            <w:r>
              <w:rPr>
                <w:sz w:val="18"/>
              </w:rPr>
              <w:t>8.605.872,52</w:t>
            </w:r>
          </w:p>
        </w:tc>
        <w:tc>
          <w:tcPr>
            <w:tcW w:w="1860" w:type="dxa"/>
            <w:tcMar>
              <w:top w:w="0" w:type="dxa"/>
              <w:bottom w:w="0" w:type="dxa"/>
            </w:tcMar>
            <w:vAlign w:val="center"/>
          </w:tcPr>
          <w:p w14:paraId="2AD117D7" w14:textId="77777777" w:rsidR="00BA3E87" w:rsidRDefault="000B2BF4">
            <w:pPr>
              <w:keepNext/>
              <w:keepLines/>
              <w:spacing w:after="0" w:line="240" w:lineRule="auto"/>
              <w:jc w:val="right"/>
            </w:pPr>
            <w:r>
              <w:rPr>
                <w:sz w:val="18"/>
              </w:rPr>
              <w:t>13.015.429,79</w:t>
            </w:r>
          </w:p>
        </w:tc>
        <w:tc>
          <w:tcPr>
            <w:tcW w:w="700" w:type="dxa"/>
            <w:tcMar>
              <w:top w:w="0" w:type="dxa"/>
              <w:bottom w:w="0" w:type="dxa"/>
            </w:tcMar>
            <w:vAlign w:val="center"/>
          </w:tcPr>
          <w:p w14:paraId="328C4E3A" w14:textId="77777777" w:rsidR="00BA3E87" w:rsidRDefault="000B2BF4">
            <w:pPr>
              <w:keepNext/>
              <w:keepLines/>
              <w:spacing w:after="0" w:line="240" w:lineRule="auto"/>
              <w:jc w:val="right"/>
            </w:pPr>
            <w:r>
              <w:rPr>
                <w:sz w:val="18"/>
              </w:rPr>
              <w:t>151,2</w:t>
            </w:r>
          </w:p>
        </w:tc>
      </w:tr>
    </w:tbl>
    <w:p w14:paraId="184D29B6" w14:textId="77777777" w:rsidR="00BA3E87" w:rsidRDefault="00BA3E87">
      <w:pPr>
        <w:spacing w:after="0"/>
      </w:pPr>
    </w:p>
    <w:p w14:paraId="6345F931" w14:textId="77777777" w:rsidR="00BA3E87" w:rsidRDefault="000B2BF4">
      <w:pPr>
        <w:jc w:val="both"/>
      </w:pPr>
      <w:r>
        <w:t xml:space="preserve">Višak prihoda i primitaka-preneseni u odnosu na 31.12.2024. godine (12.063.069,29 eura) uvećan je za povrate sredstava predfinanciranja izvršenih od strane osnovnih i srednjih škola (965.353,34 eura) i smanjen za iznos povrata neutrošenih sredstava po projektu Socijalni plan </w:t>
      </w:r>
      <w:r>
        <w:lastRenderedPageBreak/>
        <w:t>Varaždinske županije (12.992,84 eura) koji je izvršila Varaždinska županija te iznosi 13.015.429,79 eura.  </w:t>
      </w:r>
    </w:p>
    <w:p w14:paraId="0E75B0FC" w14:textId="77777777" w:rsidR="00BA3E87" w:rsidRDefault="00BA3E87"/>
    <w:p w14:paraId="54136167" w14:textId="77777777" w:rsidR="00BA3E87" w:rsidRDefault="000B2BF4">
      <w:pPr>
        <w:keepNext/>
        <w:spacing w:line="240" w:lineRule="auto"/>
        <w:jc w:val="center"/>
      </w:pPr>
      <w:r>
        <w:rPr>
          <w:b/>
          <w:sz w:val="28"/>
        </w:rPr>
        <w:t>Bilanca</w:t>
      </w:r>
    </w:p>
    <w:p w14:paraId="068C8C8E" w14:textId="77777777" w:rsidR="00BA3E87" w:rsidRDefault="000B2BF4">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150A4C5D" w14:textId="77777777">
        <w:trPr>
          <w:cantSplit/>
        </w:trPr>
        <w:tc>
          <w:tcPr>
            <w:tcW w:w="700" w:type="dxa"/>
            <w:shd w:val="clear" w:color="auto" w:fill="E7F0F9"/>
            <w:tcMar>
              <w:top w:w="0" w:type="dxa"/>
              <w:bottom w:w="0" w:type="dxa"/>
            </w:tcMar>
            <w:vAlign w:val="center"/>
          </w:tcPr>
          <w:p w14:paraId="58F8D8C9"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A16F82"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3FBBED"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192393" w14:textId="77777777" w:rsidR="00BA3E87" w:rsidRDefault="000B2BF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76AC3F" w14:textId="77777777" w:rsidR="00BA3E87" w:rsidRDefault="000B2BF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BAD1AB" w14:textId="77777777" w:rsidR="00BA3E87" w:rsidRDefault="000B2BF4">
            <w:pPr>
              <w:keepNext/>
              <w:keepLines/>
              <w:spacing w:after="0" w:line="240" w:lineRule="auto"/>
              <w:jc w:val="center"/>
            </w:pPr>
            <w:r>
              <w:rPr>
                <w:b/>
                <w:sz w:val="18"/>
              </w:rPr>
              <w:t>Indeks (%)</w:t>
            </w:r>
          </w:p>
        </w:tc>
      </w:tr>
      <w:tr w:rsidR="00BA3E87" w14:paraId="13D3BDE3" w14:textId="77777777">
        <w:trPr>
          <w:cantSplit/>
          <w:trHeight w:val="560"/>
        </w:trPr>
        <w:tc>
          <w:tcPr>
            <w:tcW w:w="700" w:type="dxa"/>
            <w:tcMar>
              <w:top w:w="0" w:type="dxa"/>
              <w:bottom w:w="0" w:type="dxa"/>
            </w:tcMar>
            <w:vAlign w:val="center"/>
          </w:tcPr>
          <w:p w14:paraId="47204AF3" w14:textId="77777777" w:rsidR="00BA3E87" w:rsidRDefault="00BA3E87">
            <w:pPr>
              <w:keepNext/>
              <w:keepLines/>
              <w:spacing w:after="0" w:line="240" w:lineRule="auto"/>
            </w:pPr>
          </w:p>
        </w:tc>
        <w:tc>
          <w:tcPr>
            <w:tcW w:w="3180" w:type="dxa"/>
            <w:tcMar>
              <w:top w:w="0" w:type="dxa"/>
              <w:bottom w:w="0" w:type="dxa"/>
            </w:tcMar>
            <w:vAlign w:val="center"/>
          </w:tcPr>
          <w:p w14:paraId="3CE82AD6" w14:textId="77777777" w:rsidR="00BA3E87" w:rsidRDefault="000B2BF4">
            <w:pPr>
              <w:keepNext/>
              <w:keepLines/>
              <w:spacing w:after="0" w:line="240" w:lineRule="auto"/>
            </w:pPr>
            <w:r>
              <w:rPr>
                <w:sz w:val="18"/>
              </w:rPr>
              <w:t>IMOVINA (šifre B002+1)</w:t>
            </w:r>
          </w:p>
        </w:tc>
        <w:tc>
          <w:tcPr>
            <w:tcW w:w="700" w:type="dxa"/>
            <w:tcMar>
              <w:top w:w="0" w:type="dxa"/>
              <w:bottom w:w="0" w:type="dxa"/>
            </w:tcMar>
            <w:vAlign w:val="center"/>
          </w:tcPr>
          <w:p w14:paraId="31C0366D" w14:textId="77777777" w:rsidR="00BA3E87" w:rsidRDefault="000B2BF4">
            <w:pPr>
              <w:keepNext/>
              <w:keepLines/>
              <w:spacing w:after="0" w:line="240" w:lineRule="auto"/>
            </w:pPr>
            <w:r>
              <w:rPr>
                <w:sz w:val="18"/>
              </w:rPr>
              <w:t>B001</w:t>
            </w:r>
          </w:p>
        </w:tc>
        <w:tc>
          <w:tcPr>
            <w:tcW w:w="1860" w:type="dxa"/>
            <w:tcMar>
              <w:top w:w="0" w:type="dxa"/>
              <w:bottom w:w="0" w:type="dxa"/>
            </w:tcMar>
            <w:vAlign w:val="center"/>
          </w:tcPr>
          <w:p w14:paraId="35F4AF8B" w14:textId="77777777" w:rsidR="00BA3E87" w:rsidRDefault="000B2BF4">
            <w:pPr>
              <w:keepNext/>
              <w:keepLines/>
              <w:spacing w:after="0" w:line="240" w:lineRule="auto"/>
              <w:jc w:val="right"/>
            </w:pPr>
            <w:r>
              <w:rPr>
                <w:sz w:val="18"/>
              </w:rPr>
              <w:t>38.857.470,29</w:t>
            </w:r>
          </w:p>
        </w:tc>
        <w:tc>
          <w:tcPr>
            <w:tcW w:w="1860" w:type="dxa"/>
            <w:tcMar>
              <w:top w:w="0" w:type="dxa"/>
              <w:bottom w:w="0" w:type="dxa"/>
            </w:tcMar>
            <w:vAlign w:val="center"/>
          </w:tcPr>
          <w:p w14:paraId="06FF26F7" w14:textId="77777777" w:rsidR="00BA3E87" w:rsidRDefault="000B2BF4">
            <w:pPr>
              <w:keepNext/>
              <w:keepLines/>
              <w:spacing w:after="0" w:line="240" w:lineRule="auto"/>
              <w:jc w:val="right"/>
            </w:pPr>
            <w:r>
              <w:rPr>
                <w:sz w:val="18"/>
              </w:rPr>
              <w:t>44.448.581,33</w:t>
            </w:r>
          </w:p>
        </w:tc>
        <w:tc>
          <w:tcPr>
            <w:tcW w:w="700" w:type="dxa"/>
            <w:tcMar>
              <w:top w:w="0" w:type="dxa"/>
              <w:bottom w:w="0" w:type="dxa"/>
            </w:tcMar>
            <w:vAlign w:val="center"/>
          </w:tcPr>
          <w:p w14:paraId="05867F71" w14:textId="77777777" w:rsidR="00BA3E87" w:rsidRDefault="000B2BF4">
            <w:pPr>
              <w:keepNext/>
              <w:keepLines/>
              <w:spacing w:after="0" w:line="240" w:lineRule="auto"/>
              <w:jc w:val="right"/>
            </w:pPr>
            <w:r>
              <w:rPr>
                <w:sz w:val="18"/>
              </w:rPr>
              <w:t>114,4</w:t>
            </w:r>
          </w:p>
        </w:tc>
      </w:tr>
    </w:tbl>
    <w:p w14:paraId="3D286AE8" w14:textId="77777777" w:rsidR="00BA3E87" w:rsidRDefault="00BA3E87">
      <w:pPr>
        <w:spacing w:after="0"/>
      </w:pPr>
    </w:p>
    <w:p w14:paraId="529A1E05" w14:textId="77777777" w:rsidR="00BA3E87" w:rsidRDefault="000B2BF4">
      <w:pPr>
        <w:jc w:val="both"/>
      </w:pPr>
      <w:r>
        <w:t>Ukupna vrijednost imovine Varaždinske županije tijekom 2025. godine povećana je za 5.591.111,04 eura, odnosno 14,4%.</w:t>
      </w:r>
    </w:p>
    <w:p w14:paraId="7D7E9A8D" w14:textId="77777777" w:rsidR="00BA3E87" w:rsidRDefault="00BA3E87"/>
    <w:p w14:paraId="7CFC1346" w14:textId="77777777" w:rsidR="00BA3E87" w:rsidRDefault="000B2BF4">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4418E915" w14:textId="77777777">
        <w:trPr>
          <w:cantSplit/>
        </w:trPr>
        <w:tc>
          <w:tcPr>
            <w:tcW w:w="700" w:type="dxa"/>
            <w:shd w:val="clear" w:color="auto" w:fill="E7F0F9"/>
            <w:tcMar>
              <w:top w:w="0" w:type="dxa"/>
              <w:bottom w:w="0" w:type="dxa"/>
            </w:tcMar>
            <w:vAlign w:val="center"/>
          </w:tcPr>
          <w:p w14:paraId="6D7C4E9A"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E0529F"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CE6E29"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64F0E9" w14:textId="77777777" w:rsidR="00BA3E87" w:rsidRDefault="000B2BF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7B0890" w14:textId="77777777" w:rsidR="00BA3E87" w:rsidRDefault="000B2BF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046810" w14:textId="77777777" w:rsidR="00BA3E87" w:rsidRDefault="000B2BF4">
            <w:pPr>
              <w:keepNext/>
              <w:keepLines/>
              <w:spacing w:after="0" w:line="240" w:lineRule="auto"/>
              <w:jc w:val="center"/>
            </w:pPr>
            <w:r>
              <w:rPr>
                <w:b/>
                <w:sz w:val="18"/>
              </w:rPr>
              <w:t>Indeks (%)</w:t>
            </w:r>
          </w:p>
        </w:tc>
      </w:tr>
      <w:tr w:rsidR="00BA3E87" w14:paraId="0BFF0653" w14:textId="77777777">
        <w:trPr>
          <w:cantSplit/>
          <w:trHeight w:val="560"/>
        </w:trPr>
        <w:tc>
          <w:tcPr>
            <w:tcW w:w="700" w:type="dxa"/>
            <w:tcMar>
              <w:top w:w="0" w:type="dxa"/>
              <w:bottom w:w="0" w:type="dxa"/>
            </w:tcMar>
            <w:vAlign w:val="center"/>
          </w:tcPr>
          <w:p w14:paraId="0AB2981C" w14:textId="77777777" w:rsidR="00BA3E87" w:rsidRDefault="000B2BF4">
            <w:pPr>
              <w:keepNext/>
              <w:keepLines/>
              <w:spacing w:after="0" w:line="240" w:lineRule="auto"/>
            </w:pPr>
            <w:r>
              <w:rPr>
                <w:sz w:val="18"/>
              </w:rPr>
              <w:t>012</w:t>
            </w:r>
          </w:p>
        </w:tc>
        <w:tc>
          <w:tcPr>
            <w:tcW w:w="3180" w:type="dxa"/>
            <w:tcMar>
              <w:top w:w="0" w:type="dxa"/>
              <w:bottom w:w="0" w:type="dxa"/>
            </w:tcMar>
            <w:vAlign w:val="center"/>
          </w:tcPr>
          <w:p w14:paraId="00822478" w14:textId="77777777" w:rsidR="00BA3E87" w:rsidRDefault="000B2BF4">
            <w:pPr>
              <w:keepNext/>
              <w:keepLines/>
              <w:spacing w:after="0" w:line="240" w:lineRule="auto"/>
            </w:pPr>
            <w:r>
              <w:rPr>
                <w:sz w:val="18"/>
              </w:rPr>
              <w:t>Nematerijalna imovina</w:t>
            </w:r>
          </w:p>
        </w:tc>
        <w:tc>
          <w:tcPr>
            <w:tcW w:w="700" w:type="dxa"/>
            <w:tcMar>
              <w:top w:w="0" w:type="dxa"/>
              <w:bottom w:w="0" w:type="dxa"/>
            </w:tcMar>
            <w:vAlign w:val="center"/>
          </w:tcPr>
          <w:p w14:paraId="1BBDCF36" w14:textId="77777777" w:rsidR="00BA3E87" w:rsidRDefault="000B2BF4">
            <w:pPr>
              <w:keepNext/>
              <w:keepLines/>
              <w:spacing w:after="0" w:line="240" w:lineRule="auto"/>
            </w:pPr>
            <w:r>
              <w:rPr>
                <w:sz w:val="18"/>
              </w:rPr>
              <w:t>012</w:t>
            </w:r>
          </w:p>
        </w:tc>
        <w:tc>
          <w:tcPr>
            <w:tcW w:w="1860" w:type="dxa"/>
            <w:tcMar>
              <w:top w:w="0" w:type="dxa"/>
              <w:bottom w:w="0" w:type="dxa"/>
            </w:tcMar>
            <w:vAlign w:val="center"/>
          </w:tcPr>
          <w:p w14:paraId="5BC30643" w14:textId="77777777" w:rsidR="00BA3E87" w:rsidRDefault="000B2BF4">
            <w:pPr>
              <w:keepNext/>
              <w:keepLines/>
              <w:spacing w:after="0" w:line="240" w:lineRule="auto"/>
              <w:jc w:val="right"/>
            </w:pPr>
            <w:r>
              <w:rPr>
                <w:sz w:val="18"/>
              </w:rPr>
              <w:t>613.031,69</w:t>
            </w:r>
          </w:p>
        </w:tc>
        <w:tc>
          <w:tcPr>
            <w:tcW w:w="1860" w:type="dxa"/>
            <w:tcMar>
              <w:top w:w="0" w:type="dxa"/>
              <w:bottom w:w="0" w:type="dxa"/>
            </w:tcMar>
            <w:vAlign w:val="center"/>
          </w:tcPr>
          <w:p w14:paraId="63D40DCB" w14:textId="77777777" w:rsidR="00BA3E87" w:rsidRDefault="000B2BF4">
            <w:pPr>
              <w:keepNext/>
              <w:keepLines/>
              <w:spacing w:after="0" w:line="240" w:lineRule="auto"/>
              <w:jc w:val="right"/>
            </w:pPr>
            <w:r>
              <w:rPr>
                <w:sz w:val="18"/>
              </w:rPr>
              <w:t>1.025.086,55</w:t>
            </w:r>
          </w:p>
        </w:tc>
        <w:tc>
          <w:tcPr>
            <w:tcW w:w="700" w:type="dxa"/>
            <w:tcMar>
              <w:top w:w="0" w:type="dxa"/>
              <w:bottom w:w="0" w:type="dxa"/>
            </w:tcMar>
            <w:vAlign w:val="center"/>
          </w:tcPr>
          <w:p w14:paraId="592217FC" w14:textId="77777777" w:rsidR="00BA3E87" w:rsidRDefault="000B2BF4">
            <w:pPr>
              <w:keepNext/>
              <w:keepLines/>
              <w:spacing w:after="0" w:line="240" w:lineRule="auto"/>
              <w:jc w:val="right"/>
            </w:pPr>
            <w:r>
              <w:rPr>
                <w:sz w:val="18"/>
              </w:rPr>
              <w:t>167,2</w:t>
            </w:r>
          </w:p>
        </w:tc>
      </w:tr>
    </w:tbl>
    <w:p w14:paraId="51A26795" w14:textId="77777777" w:rsidR="00BA3E87" w:rsidRDefault="00BA3E87">
      <w:pPr>
        <w:spacing w:after="0"/>
      </w:pPr>
    </w:p>
    <w:p w14:paraId="5E6C9944" w14:textId="77777777" w:rsidR="00BA3E87" w:rsidRDefault="000B2BF4">
      <w:pPr>
        <w:jc w:val="both"/>
      </w:pPr>
      <w:r>
        <w:t>Porast vidljiv na šifri 012 odnosi se na završena ulaganja u rekonstrukciju atrija Županijske palače i stavljanja navedenog u uporabu (368.838,81 eura), a evidentirano je i stavljanje u uporabu zgrade u Ludbregu nakon završene energetske obnove. </w:t>
      </w:r>
    </w:p>
    <w:p w14:paraId="0740B341" w14:textId="77777777" w:rsidR="00BA3E87" w:rsidRDefault="00BA3E87"/>
    <w:p w14:paraId="58296727" w14:textId="77777777" w:rsidR="00BA3E87" w:rsidRDefault="000B2BF4">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580F77BF" w14:textId="77777777">
        <w:trPr>
          <w:cantSplit/>
        </w:trPr>
        <w:tc>
          <w:tcPr>
            <w:tcW w:w="700" w:type="dxa"/>
            <w:shd w:val="clear" w:color="auto" w:fill="E7F0F9"/>
            <w:tcMar>
              <w:top w:w="0" w:type="dxa"/>
              <w:bottom w:w="0" w:type="dxa"/>
            </w:tcMar>
            <w:vAlign w:val="center"/>
          </w:tcPr>
          <w:p w14:paraId="47673941"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0C56A4"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64BE3A"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E27916" w14:textId="77777777" w:rsidR="00BA3E87" w:rsidRDefault="000B2BF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4BF570" w14:textId="77777777" w:rsidR="00BA3E87" w:rsidRDefault="000B2BF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13CF97" w14:textId="77777777" w:rsidR="00BA3E87" w:rsidRDefault="000B2BF4">
            <w:pPr>
              <w:keepNext/>
              <w:keepLines/>
              <w:spacing w:after="0" w:line="240" w:lineRule="auto"/>
              <w:jc w:val="center"/>
            </w:pPr>
            <w:r>
              <w:rPr>
                <w:b/>
                <w:sz w:val="18"/>
              </w:rPr>
              <w:t>Indeks (%)</w:t>
            </w:r>
          </w:p>
        </w:tc>
      </w:tr>
      <w:tr w:rsidR="00BA3E87" w14:paraId="28C2C21E" w14:textId="77777777">
        <w:trPr>
          <w:cantSplit/>
          <w:trHeight w:val="560"/>
        </w:trPr>
        <w:tc>
          <w:tcPr>
            <w:tcW w:w="700" w:type="dxa"/>
            <w:tcMar>
              <w:top w:w="0" w:type="dxa"/>
              <w:bottom w:w="0" w:type="dxa"/>
            </w:tcMar>
            <w:vAlign w:val="center"/>
          </w:tcPr>
          <w:p w14:paraId="6471B473" w14:textId="77777777" w:rsidR="00BA3E87" w:rsidRDefault="000B2BF4">
            <w:pPr>
              <w:keepNext/>
              <w:keepLines/>
              <w:spacing w:after="0" w:line="240" w:lineRule="auto"/>
            </w:pPr>
            <w:r>
              <w:rPr>
                <w:sz w:val="18"/>
              </w:rPr>
              <w:t>051</w:t>
            </w:r>
          </w:p>
        </w:tc>
        <w:tc>
          <w:tcPr>
            <w:tcW w:w="3180" w:type="dxa"/>
            <w:tcMar>
              <w:top w:w="0" w:type="dxa"/>
              <w:bottom w:w="0" w:type="dxa"/>
            </w:tcMar>
            <w:vAlign w:val="center"/>
          </w:tcPr>
          <w:p w14:paraId="7924865A" w14:textId="77777777" w:rsidR="00BA3E87" w:rsidRDefault="000B2BF4">
            <w:pPr>
              <w:keepNext/>
              <w:keepLines/>
              <w:spacing w:after="0" w:line="240" w:lineRule="auto"/>
            </w:pPr>
            <w:r>
              <w:rPr>
                <w:sz w:val="18"/>
              </w:rPr>
              <w:t>Građevinski objekti u pripremi</w:t>
            </w:r>
          </w:p>
        </w:tc>
        <w:tc>
          <w:tcPr>
            <w:tcW w:w="700" w:type="dxa"/>
            <w:tcMar>
              <w:top w:w="0" w:type="dxa"/>
              <w:bottom w:w="0" w:type="dxa"/>
            </w:tcMar>
            <w:vAlign w:val="center"/>
          </w:tcPr>
          <w:p w14:paraId="09431E17" w14:textId="77777777" w:rsidR="00BA3E87" w:rsidRDefault="000B2BF4">
            <w:pPr>
              <w:keepNext/>
              <w:keepLines/>
              <w:spacing w:after="0" w:line="240" w:lineRule="auto"/>
            </w:pPr>
            <w:r>
              <w:rPr>
                <w:sz w:val="18"/>
              </w:rPr>
              <w:t>051</w:t>
            </w:r>
          </w:p>
        </w:tc>
        <w:tc>
          <w:tcPr>
            <w:tcW w:w="1860" w:type="dxa"/>
            <w:tcMar>
              <w:top w:w="0" w:type="dxa"/>
              <w:bottom w:w="0" w:type="dxa"/>
            </w:tcMar>
            <w:vAlign w:val="center"/>
          </w:tcPr>
          <w:p w14:paraId="6EE60157" w14:textId="77777777" w:rsidR="00BA3E87" w:rsidRDefault="000B2BF4">
            <w:pPr>
              <w:keepNext/>
              <w:keepLines/>
              <w:spacing w:after="0" w:line="240" w:lineRule="auto"/>
              <w:jc w:val="right"/>
            </w:pPr>
            <w:r>
              <w:rPr>
                <w:sz w:val="18"/>
              </w:rPr>
              <w:t>837.231,67</w:t>
            </w:r>
          </w:p>
        </w:tc>
        <w:tc>
          <w:tcPr>
            <w:tcW w:w="1860" w:type="dxa"/>
            <w:tcMar>
              <w:top w:w="0" w:type="dxa"/>
              <w:bottom w:w="0" w:type="dxa"/>
            </w:tcMar>
            <w:vAlign w:val="center"/>
          </w:tcPr>
          <w:p w14:paraId="08CE4E29" w14:textId="77777777" w:rsidR="00BA3E87" w:rsidRDefault="000B2BF4">
            <w:pPr>
              <w:keepNext/>
              <w:keepLines/>
              <w:spacing w:after="0" w:line="240" w:lineRule="auto"/>
              <w:jc w:val="right"/>
            </w:pPr>
            <w:r>
              <w:rPr>
                <w:sz w:val="18"/>
              </w:rPr>
              <w:t>6.398.383,38</w:t>
            </w:r>
          </w:p>
        </w:tc>
        <w:tc>
          <w:tcPr>
            <w:tcW w:w="700" w:type="dxa"/>
            <w:tcMar>
              <w:top w:w="0" w:type="dxa"/>
              <w:bottom w:w="0" w:type="dxa"/>
            </w:tcMar>
            <w:vAlign w:val="center"/>
          </w:tcPr>
          <w:p w14:paraId="6D992F91" w14:textId="77777777" w:rsidR="00BA3E87" w:rsidRDefault="000B2BF4">
            <w:pPr>
              <w:keepNext/>
              <w:keepLines/>
              <w:spacing w:after="0" w:line="240" w:lineRule="auto"/>
              <w:jc w:val="right"/>
            </w:pPr>
            <w:r>
              <w:rPr>
                <w:sz w:val="18"/>
              </w:rPr>
              <w:t>764,2</w:t>
            </w:r>
          </w:p>
        </w:tc>
      </w:tr>
    </w:tbl>
    <w:p w14:paraId="529DB6DD" w14:textId="77777777" w:rsidR="00BA3E87" w:rsidRDefault="00BA3E87">
      <w:pPr>
        <w:spacing w:after="0"/>
      </w:pPr>
    </w:p>
    <w:p w14:paraId="077D1E72" w14:textId="77777777" w:rsidR="00BA3E87" w:rsidRDefault="000B2BF4">
      <w:pPr>
        <w:jc w:val="both"/>
      </w:pPr>
      <w:r>
        <w:t>Nefinancijska imovina iznosom najveći porast od 5.561.151,71 eura bilježi na stavkama vezanima uz građevinske objekte u pripremi (šifra 051) najvećim dijelom zbog radova izvršenih u okviru provedbe EU projekata Arboretum Opeka-održiva zelena destinacija (3.690.711,17 eura), Energetska obnova upravne zgrade u Ivancu (867.058,35 eura) i Revitalizacija austrougarskog vojnog konjičkog kompleksa Varaždinske županije (182.682,99 eura) te zbog ulaganja u energetsku obnovu upravne zgrade u Novom Marofu (817.346,05 eura).</w:t>
      </w:r>
    </w:p>
    <w:p w14:paraId="6605ACF1" w14:textId="77777777" w:rsidR="00BA3E87" w:rsidRDefault="00BA3E87"/>
    <w:p w14:paraId="02C875DE" w14:textId="77777777" w:rsidR="00BA3E87" w:rsidRDefault="000B2BF4">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45E5115A" w14:textId="77777777">
        <w:trPr>
          <w:cantSplit/>
        </w:trPr>
        <w:tc>
          <w:tcPr>
            <w:tcW w:w="700" w:type="dxa"/>
            <w:shd w:val="clear" w:color="auto" w:fill="E7F0F9"/>
            <w:tcMar>
              <w:top w:w="0" w:type="dxa"/>
              <w:bottom w:w="0" w:type="dxa"/>
            </w:tcMar>
            <w:vAlign w:val="center"/>
          </w:tcPr>
          <w:p w14:paraId="5F5E70BB"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17A0C9"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800A40"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15FACF" w14:textId="77777777" w:rsidR="00BA3E87" w:rsidRDefault="000B2BF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43D4EF" w14:textId="77777777" w:rsidR="00BA3E87" w:rsidRDefault="000B2BF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4C805C" w14:textId="77777777" w:rsidR="00BA3E87" w:rsidRDefault="000B2BF4">
            <w:pPr>
              <w:keepNext/>
              <w:keepLines/>
              <w:spacing w:after="0" w:line="240" w:lineRule="auto"/>
              <w:jc w:val="center"/>
            </w:pPr>
            <w:r>
              <w:rPr>
                <w:b/>
                <w:sz w:val="18"/>
              </w:rPr>
              <w:t>Indeks (%)</w:t>
            </w:r>
          </w:p>
        </w:tc>
      </w:tr>
      <w:tr w:rsidR="00BA3E87" w14:paraId="21BD1406" w14:textId="77777777">
        <w:trPr>
          <w:cantSplit/>
          <w:trHeight w:val="560"/>
        </w:trPr>
        <w:tc>
          <w:tcPr>
            <w:tcW w:w="700" w:type="dxa"/>
            <w:tcMar>
              <w:top w:w="0" w:type="dxa"/>
              <w:bottom w:w="0" w:type="dxa"/>
            </w:tcMar>
            <w:vAlign w:val="center"/>
          </w:tcPr>
          <w:p w14:paraId="7FD791EB" w14:textId="77777777" w:rsidR="00BA3E87" w:rsidRDefault="000B2BF4">
            <w:pPr>
              <w:keepNext/>
              <w:keepLines/>
              <w:spacing w:after="0" w:line="240" w:lineRule="auto"/>
            </w:pPr>
            <w:r>
              <w:rPr>
                <w:sz w:val="18"/>
              </w:rPr>
              <w:t>1638</w:t>
            </w:r>
          </w:p>
        </w:tc>
        <w:tc>
          <w:tcPr>
            <w:tcW w:w="3180" w:type="dxa"/>
            <w:tcMar>
              <w:top w:w="0" w:type="dxa"/>
              <w:bottom w:w="0" w:type="dxa"/>
            </w:tcMar>
            <w:vAlign w:val="center"/>
          </w:tcPr>
          <w:p w14:paraId="0C05D79D" w14:textId="77777777" w:rsidR="00BA3E87" w:rsidRDefault="000B2BF4">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572D6399" w14:textId="77777777" w:rsidR="00BA3E87" w:rsidRDefault="000B2BF4">
            <w:pPr>
              <w:keepNext/>
              <w:keepLines/>
              <w:spacing w:after="0" w:line="240" w:lineRule="auto"/>
            </w:pPr>
            <w:r>
              <w:rPr>
                <w:sz w:val="18"/>
              </w:rPr>
              <w:t>1638</w:t>
            </w:r>
          </w:p>
        </w:tc>
        <w:tc>
          <w:tcPr>
            <w:tcW w:w="1860" w:type="dxa"/>
            <w:tcMar>
              <w:top w:w="0" w:type="dxa"/>
              <w:bottom w:w="0" w:type="dxa"/>
            </w:tcMar>
            <w:vAlign w:val="center"/>
          </w:tcPr>
          <w:p w14:paraId="0352BBF4" w14:textId="77777777" w:rsidR="00BA3E87" w:rsidRDefault="000B2BF4">
            <w:pPr>
              <w:keepNext/>
              <w:keepLines/>
              <w:spacing w:after="0" w:line="240" w:lineRule="auto"/>
              <w:jc w:val="right"/>
            </w:pPr>
            <w:r>
              <w:rPr>
                <w:sz w:val="18"/>
              </w:rPr>
              <w:t>389.067,76</w:t>
            </w:r>
          </w:p>
        </w:tc>
        <w:tc>
          <w:tcPr>
            <w:tcW w:w="1860" w:type="dxa"/>
            <w:tcMar>
              <w:top w:w="0" w:type="dxa"/>
              <w:bottom w:w="0" w:type="dxa"/>
            </w:tcMar>
            <w:vAlign w:val="center"/>
          </w:tcPr>
          <w:p w14:paraId="18012B2D" w14:textId="77777777" w:rsidR="00BA3E87" w:rsidRDefault="000B2BF4">
            <w:pPr>
              <w:keepNext/>
              <w:keepLines/>
              <w:spacing w:after="0" w:line="240" w:lineRule="auto"/>
              <w:jc w:val="right"/>
            </w:pPr>
            <w:r>
              <w:rPr>
                <w:sz w:val="18"/>
              </w:rPr>
              <w:t>3.606.466,49</w:t>
            </w:r>
          </w:p>
        </w:tc>
        <w:tc>
          <w:tcPr>
            <w:tcW w:w="700" w:type="dxa"/>
            <w:tcMar>
              <w:top w:w="0" w:type="dxa"/>
              <w:bottom w:w="0" w:type="dxa"/>
            </w:tcMar>
            <w:vAlign w:val="center"/>
          </w:tcPr>
          <w:p w14:paraId="7FE22547" w14:textId="77777777" w:rsidR="00BA3E87" w:rsidRDefault="000B2BF4">
            <w:pPr>
              <w:keepNext/>
              <w:keepLines/>
              <w:spacing w:after="0" w:line="240" w:lineRule="auto"/>
              <w:jc w:val="right"/>
            </w:pPr>
            <w:r>
              <w:rPr>
                <w:sz w:val="18"/>
              </w:rPr>
              <w:t>927,0</w:t>
            </w:r>
          </w:p>
        </w:tc>
      </w:tr>
    </w:tbl>
    <w:p w14:paraId="6DB5EE23" w14:textId="77777777" w:rsidR="00BA3E87" w:rsidRDefault="00BA3E87">
      <w:pPr>
        <w:spacing w:after="0"/>
      </w:pPr>
    </w:p>
    <w:p w14:paraId="777DAB40" w14:textId="77777777" w:rsidR="00BA3E87" w:rsidRDefault="000B2BF4">
      <w:pPr>
        <w:jc w:val="both"/>
      </w:pPr>
      <w:r>
        <w:t>Značajan porast evidentiran na šifri 1638 Potraživanja za pomoći temeljem prijenosa EU sredstava i šifri 9638 Pomoći temeljem prijenosa EU sredstava odnosi se na podnesene zahtjeve za nadoknadu sredstava po EU projektima u sklopu Nacionalnog plana otpornosti i oporavka i to: Arboretum Opeka-održiva zelena destinacija (2.252.915,67 eura), Rekonstrukcija i dogradnja OŠ Ivanec (419.095,09 eura) te Rekonstrukcija i dogradnja školske zgrade i sportske dvorane PŠ Nova Ves Petrijanečka (233.778,76 eura). Uz navedene projekte, evidentirano je i potraživanje po EU projektima I ti možeš (477.931,03 eura) i Revitalizacija austrougarskog vojnog konjičkog kompleksa Varaždinske županije (222.745,94 eur).</w:t>
      </w:r>
    </w:p>
    <w:p w14:paraId="2B1F9DE1" w14:textId="77777777" w:rsidR="00BA3E87" w:rsidRDefault="00BA3E87"/>
    <w:p w14:paraId="76F87C4E" w14:textId="77777777" w:rsidR="00BA3E87" w:rsidRDefault="000B2BF4">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74B0C8E7" w14:textId="77777777">
        <w:trPr>
          <w:cantSplit/>
        </w:trPr>
        <w:tc>
          <w:tcPr>
            <w:tcW w:w="700" w:type="dxa"/>
            <w:shd w:val="clear" w:color="auto" w:fill="E7F0F9"/>
            <w:tcMar>
              <w:top w:w="0" w:type="dxa"/>
              <w:bottom w:w="0" w:type="dxa"/>
            </w:tcMar>
            <w:vAlign w:val="center"/>
          </w:tcPr>
          <w:p w14:paraId="35C5A5B0"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721365"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5F0E52"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B50062" w14:textId="77777777" w:rsidR="00BA3E87" w:rsidRDefault="000B2BF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DC89F6" w14:textId="77777777" w:rsidR="00BA3E87" w:rsidRDefault="000B2BF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A5A4D2" w14:textId="77777777" w:rsidR="00BA3E87" w:rsidRDefault="000B2BF4">
            <w:pPr>
              <w:keepNext/>
              <w:keepLines/>
              <w:spacing w:after="0" w:line="240" w:lineRule="auto"/>
              <w:jc w:val="center"/>
            </w:pPr>
            <w:r>
              <w:rPr>
                <w:b/>
                <w:sz w:val="18"/>
              </w:rPr>
              <w:t>Indeks (%)</w:t>
            </w:r>
          </w:p>
        </w:tc>
      </w:tr>
      <w:tr w:rsidR="00BA3E87" w14:paraId="0315CD1B" w14:textId="77777777">
        <w:trPr>
          <w:cantSplit/>
          <w:trHeight w:val="560"/>
        </w:trPr>
        <w:tc>
          <w:tcPr>
            <w:tcW w:w="700" w:type="dxa"/>
            <w:tcMar>
              <w:top w:w="0" w:type="dxa"/>
              <w:bottom w:w="0" w:type="dxa"/>
            </w:tcMar>
            <w:vAlign w:val="center"/>
          </w:tcPr>
          <w:p w14:paraId="3D184419" w14:textId="77777777" w:rsidR="00BA3E87" w:rsidRDefault="000B2BF4">
            <w:pPr>
              <w:keepNext/>
              <w:keepLines/>
              <w:spacing w:after="0" w:line="240" w:lineRule="auto"/>
            </w:pPr>
            <w:r>
              <w:rPr>
                <w:sz w:val="18"/>
              </w:rPr>
              <w:t>24</w:t>
            </w:r>
          </w:p>
        </w:tc>
        <w:tc>
          <w:tcPr>
            <w:tcW w:w="3180" w:type="dxa"/>
            <w:tcMar>
              <w:top w:w="0" w:type="dxa"/>
              <w:bottom w:w="0" w:type="dxa"/>
            </w:tcMar>
            <w:vAlign w:val="center"/>
          </w:tcPr>
          <w:p w14:paraId="66F9486C" w14:textId="77777777" w:rsidR="00BA3E87" w:rsidRDefault="000B2BF4">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045C532B" w14:textId="77777777" w:rsidR="00BA3E87" w:rsidRDefault="000B2BF4">
            <w:pPr>
              <w:keepNext/>
              <w:keepLines/>
              <w:spacing w:after="0" w:line="240" w:lineRule="auto"/>
            </w:pPr>
            <w:r>
              <w:rPr>
                <w:sz w:val="18"/>
              </w:rPr>
              <w:t>24</w:t>
            </w:r>
          </w:p>
        </w:tc>
        <w:tc>
          <w:tcPr>
            <w:tcW w:w="1860" w:type="dxa"/>
            <w:tcMar>
              <w:top w:w="0" w:type="dxa"/>
              <w:bottom w:w="0" w:type="dxa"/>
            </w:tcMar>
            <w:vAlign w:val="center"/>
          </w:tcPr>
          <w:p w14:paraId="64EF5CBB" w14:textId="77777777" w:rsidR="00BA3E87" w:rsidRDefault="000B2BF4">
            <w:pPr>
              <w:keepNext/>
              <w:keepLines/>
              <w:spacing w:after="0" w:line="240" w:lineRule="auto"/>
              <w:jc w:val="right"/>
            </w:pPr>
            <w:r>
              <w:rPr>
                <w:sz w:val="18"/>
              </w:rPr>
              <w:t>112.967,68</w:t>
            </w:r>
          </w:p>
        </w:tc>
        <w:tc>
          <w:tcPr>
            <w:tcW w:w="1860" w:type="dxa"/>
            <w:tcMar>
              <w:top w:w="0" w:type="dxa"/>
              <w:bottom w:w="0" w:type="dxa"/>
            </w:tcMar>
            <w:vAlign w:val="center"/>
          </w:tcPr>
          <w:p w14:paraId="4DC5500B" w14:textId="77777777" w:rsidR="00BA3E87" w:rsidRDefault="000B2BF4">
            <w:pPr>
              <w:keepNext/>
              <w:keepLines/>
              <w:spacing w:after="0" w:line="240" w:lineRule="auto"/>
              <w:jc w:val="right"/>
            </w:pPr>
            <w:r>
              <w:rPr>
                <w:sz w:val="18"/>
              </w:rPr>
              <w:t>356.990,99</w:t>
            </w:r>
          </w:p>
        </w:tc>
        <w:tc>
          <w:tcPr>
            <w:tcW w:w="700" w:type="dxa"/>
            <w:tcMar>
              <w:top w:w="0" w:type="dxa"/>
              <w:bottom w:w="0" w:type="dxa"/>
            </w:tcMar>
            <w:vAlign w:val="center"/>
          </w:tcPr>
          <w:p w14:paraId="259C953B" w14:textId="77777777" w:rsidR="00BA3E87" w:rsidRDefault="000B2BF4">
            <w:pPr>
              <w:keepNext/>
              <w:keepLines/>
              <w:spacing w:after="0" w:line="240" w:lineRule="auto"/>
              <w:jc w:val="right"/>
            </w:pPr>
            <w:r>
              <w:rPr>
                <w:sz w:val="18"/>
              </w:rPr>
              <w:t>316,0</w:t>
            </w:r>
          </w:p>
        </w:tc>
      </w:tr>
    </w:tbl>
    <w:p w14:paraId="766A4206" w14:textId="77777777" w:rsidR="00BA3E87" w:rsidRDefault="00BA3E87">
      <w:pPr>
        <w:spacing w:after="0"/>
      </w:pPr>
    </w:p>
    <w:p w14:paraId="6573C961" w14:textId="77777777" w:rsidR="00BA3E87" w:rsidRDefault="000B2BF4">
      <w:pPr>
        <w:jc w:val="both"/>
      </w:pPr>
      <w:r>
        <w:t>Veći iznos obveza za nabavu nefinancijske imovine najvećim dijelom je posljedica  provođenja EU projekata Arboretum Opeka-održiva zelena destinacija (193.246,29 eura) i Energetska obnova upravne zgrade u Ivancu (88.106,55 eura).</w:t>
      </w:r>
    </w:p>
    <w:p w14:paraId="2601800E" w14:textId="77777777" w:rsidR="00BA3E87" w:rsidRDefault="00BA3E87"/>
    <w:p w14:paraId="229A6F8E" w14:textId="77777777" w:rsidR="00BA3E87" w:rsidRDefault="000B2BF4">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705E2C16" w14:textId="77777777">
        <w:trPr>
          <w:cantSplit/>
        </w:trPr>
        <w:tc>
          <w:tcPr>
            <w:tcW w:w="700" w:type="dxa"/>
            <w:shd w:val="clear" w:color="auto" w:fill="E7F0F9"/>
            <w:tcMar>
              <w:top w:w="0" w:type="dxa"/>
              <w:bottom w:w="0" w:type="dxa"/>
            </w:tcMar>
            <w:vAlign w:val="center"/>
          </w:tcPr>
          <w:p w14:paraId="19B66598"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6424E1"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E7891A"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83A194" w14:textId="77777777" w:rsidR="00BA3E87" w:rsidRDefault="000B2BF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DAA3C6" w14:textId="77777777" w:rsidR="00BA3E87" w:rsidRDefault="000B2BF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C9CA2D" w14:textId="77777777" w:rsidR="00BA3E87" w:rsidRDefault="000B2BF4">
            <w:pPr>
              <w:keepNext/>
              <w:keepLines/>
              <w:spacing w:after="0" w:line="240" w:lineRule="auto"/>
              <w:jc w:val="center"/>
            </w:pPr>
            <w:r>
              <w:rPr>
                <w:b/>
                <w:sz w:val="18"/>
              </w:rPr>
              <w:t>Indeks (%)</w:t>
            </w:r>
          </w:p>
        </w:tc>
      </w:tr>
      <w:tr w:rsidR="00BA3E87" w14:paraId="5263CF15" w14:textId="77777777">
        <w:trPr>
          <w:cantSplit/>
          <w:trHeight w:val="560"/>
        </w:trPr>
        <w:tc>
          <w:tcPr>
            <w:tcW w:w="700" w:type="dxa"/>
            <w:tcMar>
              <w:top w:w="0" w:type="dxa"/>
              <w:bottom w:w="0" w:type="dxa"/>
            </w:tcMar>
            <w:vAlign w:val="center"/>
          </w:tcPr>
          <w:p w14:paraId="67CE3F0D" w14:textId="77777777" w:rsidR="00BA3E87" w:rsidRDefault="000B2BF4">
            <w:pPr>
              <w:keepNext/>
              <w:keepLines/>
              <w:spacing w:after="0" w:line="240" w:lineRule="auto"/>
            </w:pPr>
            <w:r>
              <w:rPr>
                <w:sz w:val="18"/>
              </w:rPr>
              <w:t>26</w:t>
            </w:r>
          </w:p>
        </w:tc>
        <w:tc>
          <w:tcPr>
            <w:tcW w:w="3180" w:type="dxa"/>
            <w:tcMar>
              <w:top w:w="0" w:type="dxa"/>
              <w:bottom w:w="0" w:type="dxa"/>
            </w:tcMar>
            <w:vAlign w:val="center"/>
          </w:tcPr>
          <w:p w14:paraId="6E55C7B0" w14:textId="77777777" w:rsidR="00BA3E87" w:rsidRDefault="000B2BF4">
            <w:pPr>
              <w:keepNext/>
              <w:keepLines/>
              <w:spacing w:after="0" w:line="240" w:lineRule="auto"/>
            </w:pPr>
            <w:r>
              <w:rPr>
                <w:sz w:val="18"/>
              </w:rPr>
              <w:t>Obveze za kredite i zajmove (šifre 26X1+26X2)</w:t>
            </w:r>
          </w:p>
        </w:tc>
        <w:tc>
          <w:tcPr>
            <w:tcW w:w="700" w:type="dxa"/>
            <w:tcMar>
              <w:top w:w="0" w:type="dxa"/>
              <w:bottom w:w="0" w:type="dxa"/>
            </w:tcMar>
            <w:vAlign w:val="center"/>
          </w:tcPr>
          <w:p w14:paraId="6BDA8F57" w14:textId="77777777" w:rsidR="00BA3E87" w:rsidRDefault="000B2BF4">
            <w:pPr>
              <w:keepNext/>
              <w:keepLines/>
              <w:spacing w:after="0" w:line="240" w:lineRule="auto"/>
            </w:pPr>
            <w:r>
              <w:rPr>
                <w:sz w:val="18"/>
              </w:rPr>
              <w:t>26</w:t>
            </w:r>
          </w:p>
        </w:tc>
        <w:tc>
          <w:tcPr>
            <w:tcW w:w="1860" w:type="dxa"/>
            <w:tcMar>
              <w:top w:w="0" w:type="dxa"/>
              <w:bottom w:w="0" w:type="dxa"/>
            </w:tcMar>
            <w:vAlign w:val="center"/>
          </w:tcPr>
          <w:p w14:paraId="3AB9E5BB" w14:textId="77777777" w:rsidR="00BA3E87" w:rsidRDefault="000B2BF4">
            <w:pPr>
              <w:keepNext/>
              <w:keepLines/>
              <w:spacing w:after="0" w:line="240" w:lineRule="auto"/>
              <w:jc w:val="right"/>
            </w:pPr>
            <w:r>
              <w:rPr>
                <w:sz w:val="18"/>
              </w:rPr>
              <w:t>2.153.009,86</w:t>
            </w:r>
          </w:p>
        </w:tc>
        <w:tc>
          <w:tcPr>
            <w:tcW w:w="1860" w:type="dxa"/>
            <w:tcMar>
              <w:top w:w="0" w:type="dxa"/>
              <w:bottom w:w="0" w:type="dxa"/>
            </w:tcMar>
            <w:vAlign w:val="center"/>
          </w:tcPr>
          <w:p w14:paraId="08AF0AC8" w14:textId="77777777" w:rsidR="00BA3E87" w:rsidRDefault="000B2BF4">
            <w:pPr>
              <w:keepNext/>
              <w:keepLines/>
              <w:spacing w:after="0" w:line="240" w:lineRule="auto"/>
              <w:jc w:val="right"/>
            </w:pPr>
            <w:r>
              <w:rPr>
                <w:sz w:val="18"/>
              </w:rPr>
              <w:t>1.881.006,03</w:t>
            </w:r>
          </w:p>
        </w:tc>
        <w:tc>
          <w:tcPr>
            <w:tcW w:w="700" w:type="dxa"/>
            <w:tcMar>
              <w:top w:w="0" w:type="dxa"/>
              <w:bottom w:w="0" w:type="dxa"/>
            </w:tcMar>
            <w:vAlign w:val="center"/>
          </w:tcPr>
          <w:p w14:paraId="3E3D57F3" w14:textId="77777777" w:rsidR="00BA3E87" w:rsidRDefault="000B2BF4">
            <w:pPr>
              <w:keepNext/>
              <w:keepLines/>
              <w:spacing w:after="0" w:line="240" w:lineRule="auto"/>
              <w:jc w:val="right"/>
            </w:pPr>
            <w:r>
              <w:rPr>
                <w:sz w:val="18"/>
              </w:rPr>
              <w:t>87,4</w:t>
            </w:r>
          </w:p>
        </w:tc>
      </w:tr>
    </w:tbl>
    <w:p w14:paraId="5A0C2F3F" w14:textId="77777777" w:rsidR="00BA3E87" w:rsidRDefault="00BA3E87">
      <w:pPr>
        <w:spacing w:after="0"/>
      </w:pPr>
    </w:p>
    <w:p w14:paraId="207D5CD4" w14:textId="77777777" w:rsidR="00BA3E87" w:rsidRDefault="000B2BF4">
      <w:pPr>
        <w:jc w:val="both"/>
      </w:pPr>
      <w:r>
        <w:t>Obveze za kredite i zajmove (šifra 26) smanjuju se sukladno otplatnim planovima. Namjena i stanje dugoročnih kredita Varaždinske županije na 31. prosinca 2025. godine:</w:t>
      </w:r>
    </w:p>
    <w:p w14:paraId="045EFBCC" w14:textId="77777777" w:rsidR="00BA3E87" w:rsidRDefault="000B2BF4">
      <w:r>
        <w:t>- kupnja dvorca Šaulovec (ZABA) - 123.784,83 eura,</w:t>
      </w:r>
      <w:r>
        <w:br/>
        <w:t>- dogradnja i opremanje OŠ Martijanec (ZABA) - 634.844,15 eura,</w:t>
      </w:r>
      <w:r>
        <w:br/>
        <w:t>- unutarnje uređenje zgrade Vodotoranj (PBZ) - 617.281,90 eura,</w:t>
      </w:r>
      <w:r>
        <w:br/>
        <w:t>- projekt Eno zgrade Vodotornja (HBOR) - 194.170,32 eura,</w:t>
      </w:r>
      <w:r>
        <w:br/>
        <w:t>- projekt Eno zgrade poliklinike Opće bolnice (HBOR) - 114.790,94 eura,</w:t>
      </w:r>
      <w:r>
        <w:br/>
        <w:t>- projekt Eno zgrade psihijatrije Opće bolnice (HBOR) - 107.974,83 eura te</w:t>
      </w:r>
      <w:r>
        <w:br/>
        <w:t>- projekt Eno zgrade mikrobiologije i RTG ZJZ i Opće bolnice (HBOR) - 88.159,06 eura.</w:t>
      </w:r>
    </w:p>
    <w:p w14:paraId="4AEE7F39" w14:textId="77777777" w:rsidR="00BA3E87" w:rsidRDefault="000B2BF4">
      <w:r>
        <w:lastRenderedPageBreak/>
        <w:t> </w:t>
      </w:r>
    </w:p>
    <w:p w14:paraId="3A939DCD" w14:textId="77777777" w:rsidR="00BA3E87" w:rsidRDefault="00BA3E87"/>
    <w:p w14:paraId="4C19911F" w14:textId="77777777" w:rsidR="00BA3E87" w:rsidRDefault="000B2BF4">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16A3BD6E" w14:textId="77777777">
        <w:trPr>
          <w:cantSplit/>
        </w:trPr>
        <w:tc>
          <w:tcPr>
            <w:tcW w:w="700" w:type="dxa"/>
            <w:shd w:val="clear" w:color="auto" w:fill="E7F0F9"/>
            <w:tcMar>
              <w:top w:w="0" w:type="dxa"/>
              <w:bottom w:w="0" w:type="dxa"/>
            </w:tcMar>
            <w:vAlign w:val="center"/>
          </w:tcPr>
          <w:p w14:paraId="0BE12F53"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E14D8E"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692896"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46E0D4" w14:textId="77777777" w:rsidR="00BA3E87" w:rsidRDefault="000B2BF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2BF2CB" w14:textId="77777777" w:rsidR="00BA3E87" w:rsidRDefault="000B2BF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0E1E0D" w14:textId="77777777" w:rsidR="00BA3E87" w:rsidRDefault="000B2BF4">
            <w:pPr>
              <w:keepNext/>
              <w:keepLines/>
              <w:spacing w:after="0" w:line="240" w:lineRule="auto"/>
              <w:jc w:val="center"/>
            </w:pPr>
            <w:r>
              <w:rPr>
                <w:b/>
                <w:sz w:val="18"/>
              </w:rPr>
              <w:t>Indeks (%)</w:t>
            </w:r>
          </w:p>
        </w:tc>
      </w:tr>
      <w:tr w:rsidR="00BA3E87" w14:paraId="06EBEF2A" w14:textId="77777777">
        <w:trPr>
          <w:cantSplit/>
          <w:trHeight w:val="560"/>
        </w:trPr>
        <w:tc>
          <w:tcPr>
            <w:tcW w:w="700" w:type="dxa"/>
            <w:tcMar>
              <w:top w:w="0" w:type="dxa"/>
              <w:bottom w:w="0" w:type="dxa"/>
            </w:tcMar>
            <w:vAlign w:val="center"/>
          </w:tcPr>
          <w:p w14:paraId="22A6DD3C" w14:textId="77777777" w:rsidR="00BA3E87" w:rsidRDefault="000B2BF4">
            <w:pPr>
              <w:keepNext/>
              <w:keepLines/>
              <w:spacing w:after="0" w:line="240" w:lineRule="auto"/>
            </w:pPr>
            <w:r>
              <w:rPr>
                <w:sz w:val="18"/>
              </w:rPr>
              <w:t>27</w:t>
            </w:r>
          </w:p>
        </w:tc>
        <w:tc>
          <w:tcPr>
            <w:tcW w:w="3180" w:type="dxa"/>
            <w:tcMar>
              <w:top w:w="0" w:type="dxa"/>
              <w:bottom w:w="0" w:type="dxa"/>
            </w:tcMar>
            <w:vAlign w:val="center"/>
          </w:tcPr>
          <w:p w14:paraId="76820A14" w14:textId="77777777" w:rsidR="00BA3E87" w:rsidRDefault="000B2BF4">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75C9A5D0" w14:textId="77777777" w:rsidR="00BA3E87" w:rsidRDefault="000B2BF4">
            <w:pPr>
              <w:keepNext/>
              <w:keepLines/>
              <w:spacing w:after="0" w:line="240" w:lineRule="auto"/>
            </w:pPr>
            <w:r>
              <w:rPr>
                <w:sz w:val="18"/>
              </w:rPr>
              <w:t>27</w:t>
            </w:r>
          </w:p>
        </w:tc>
        <w:tc>
          <w:tcPr>
            <w:tcW w:w="1860" w:type="dxa"/>
            <w:tcMar>
              <w:top w:w="0" w:type="dxa"/>
              <w:bottom w:w="0" w:type="dxa"/>
            </w:tcMar>
            <w:vAlign w:val="center"/>
          </w:tcPr>
          <w:p w14:paraId="53EB02D7" w14:textId="77777777" w:rsidR="00BA3E87" w:rsidRDefault="000B2BF4">
            <w:pPr>
              <w:keepNext/>
              <w:keepLines/>
              <w:spacing w:after="0" w:line="240" w:lineRule="auto"/>
              <w:jc w:val="right"/>
            </w:pPr>
            <w:r>
              <w:rPr>
                <w:sz w:val="18"/>
              </w:rPr>
              <w:t>732.353,33</w:t>
            </w:r>
          </w:p>
        </w:tc>
        <w:tc>
          <w:tcPr>
            <w:tcW w:w="1860" w:type="dxa"/>
            <w:tcMar>
              <w:top w:w="0" w:type="dxa"/>
              <w:bottom w:w="0" w:type="dxa"/>
            </w:tcMar>
            <w:vAlign w:val="center"/>
          </w:tcPr>
          <w:p w14:paraId="79D8C9B2" w14:textId="77777777" w:rsidR="00BA3E87" w:rsidRDefault="000B2BF4">
            <w:pPr>
              <w:keepNext/>
              <w:keepLines/>
              <w:spacing w:after="0" w:line="240" w:lineRule="auto"/>
              <w:jc w:val="right"/>
            </w:pPr>
            <w:r>
              <w:rPr>
                <w:sz w:val="18"/>
              </w:rPr>
              <w:t>1.141.698,57</w:t>
            </w:r>
          </w:p>
        </w:tc>
        <w:tc>
          <w:tcPr>
            <w:tcW w:w="700" w:type="dxa"/>
            <w:tcMar>
              <w:top w:w="0" w:type="dxa"/>
              <w:bottom w:w="0" w:type="dxa"/>
            </w:tcMar>
            <w:vAlign w:val="center"/>
          </w:tcPr>
          <w:p w14:paraId="0CBE9878" w14:textId="77777777" w:rsidR="00BA3E87" w:rsidRDefault="000B2BF4">
            <w:pPr>
              <w:keepNext/>
              <w:keepLines/>
              <w:spacing w:after="0" w:line="240" w:lineRule="auto"/>
              <w:jc w:val="right"/>
            </w:pPr>
            <w:r>
              <w:rPr>
                <w:sz w:val="18"/>
              </w:rPr>
              <w:t>155,9</w:t>
            </w:r>
          </w:p>
        </w:tc>
      </w:tr>
    </w:tbl>
    <w:p w14:paraId="2442E13F" w14:textId="77777777" w:rsidR="00BA3E87" w:rsidRDefault="00BA3E87">
      <w:pPr>
        <w:spacing w:after="0"/>
      </w:pPr>
    </w:p>
    <w:p w14:paraId="34C7F033" w14:textId="77777777" w:rsidR="00BA3E87" w:rsidRDefault="000B2BF4">
      <w:pPr>
        <w:jc w:val="both"/>
      </w:pPr>
      <w:r>
        <w:t>Sukladno novom Pravilniku o proračunskom računovodstvu i Računskom planu („Narodne novine“ br. 158/23 i 154 / 24), u novu skupinu računa 27 Obveze za predujmove, depozite, jamčevne pologe i tuđe prihode sa 01. siječnja 2025. godine prenesena su stanja sa odgovarajućih računa iz odjeljka 2395 u okviru kojeg je ostao samo jedan osnovni račun i to 23954 Ostale nespomenute obveze. Osim navedenog, u tekućem izvještajnom razdoblju uvedeno je evidentiranje obveze za EU predujmove u podskupini 275. Varaždinska županija na 31. prosinca 2025. godine ima iskazanu obvezu za EU predujmove po projektima Rekonstrukcija i dogradnja PŠ Nova Ves Petrijanečka (164.869,50 eura), Rekonstrukcija i opremanje-Graditeljska,prirodoslovna i rudarska škola (42.500,00 eura) te Rekonstrukcija i opremanje Gospodarske Škole (26.000,00 eura).</w:t>
      </w:r>
    </w:p>
    <w:p w14:paraId="7556A4D9" w14:textId="77777777" w:rsidR="00BA3E87" w:rsidRDefault="00BA3E87"/>
    <w:p w14:paraId="17FF0E3F" w14:textId="77777777" w:rsidR="00BA3E87" w:rsidRDefault="000B2BF4">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425A7D5F" w14:textId="77777777">
        <w:trPr>
          <w:cantSplit/>
        </w:trPr>
        <w:tc>
          <w:tcPr>
            <w:tcW w:w="700" w:type="dxa"/>
            <w:shd w:val="clear" w:color="auto" w:fill="E7F0F9"/>
            <w:tcMar>
              <w:top w:w="0" w:type="dxa"/>
              <w:bottom w:w="0" w:type="dxa"/>
            </w:tcMar>
            <w:vAlign w:val="center"/>
          </w:tcPr>
          <w:p w14:paraId="2ED252A4"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B9298E"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7C0D78"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1D891D" w14:textId="77777777" w:rsidR="00BA3E87" w:rsidRDefault="000B2BF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21F32F" w14:textId="77777777" w:rsidR="00BA3E87" w:rsidRDefault="000B2BF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7AF6CB" w14:textId="77777777" w:rsidR="00BA3E87" w:rsidRDefault="000B2BF4">
            <w:pPr>
              <w:keepNext/>
              <w:keepLines/>
              <w:spacing w:after="0" w:line="240" w:lineRule="auto"/>
              <w:jc w:val="center"/>
            </w:pPr>
            <w:r>
              <w:rPr>
                <w:b/>
                <w:sz w:val="18"/>
              </w:rPr>
              <w:t>Indeks (%)</w:t>
            </w:r>
          </w:p>
        </w:tc>
      </w:tr>
      <w:tr w:rsidR="00BA3E87" w14:paraId="5E42A034" w14:textId="77777777">
        <w:trPr>
          <w:cantSplit/>
          <w:trHeight w:val="560"/>
        </w:trPr>
        <w:tc>
          <w:tcPr>
            <w:tcW w:w="700" w:type="dxa"/>
            <w:tcMar>
              <w:top w:w="0" w:type="dxa"/>
              <w:bottom w:w="0" w:type="dxa"/>
            </w:tcMar>
            <w:vAlign w:val="center"/>
          </w:tcPr>
          <w:p w14:paraId="24888520" w14:textId="77777777" w:rsidR="00BA3E87" w:rsidRDefault="000B2BF4">
            <w:pPr>
              <w:keepNext/>
              <w:keepLines/>
              <w:spacing w:after="0" w:line="240" w:lineRule="auto"/>
            </w:pPr>
            <w:r>
              <w:rPr>
                <w:sz w:val="18"/>
              </w:rPr>
              <w:t>922</w:t>
            </w:r>
          </w:p>
        </w:tc>
        <w:tc>
          <w:tcPr>
            <w:tcW w:w="3180" w:type="dxa"/>
            <w:tcMar>
              <w:top w:w="0" w:type="dxa"/>
              <w:bottom w:w="0" w:type="dxa"/>
            </w:tcMar>
            <w:vAlign w:val="center"/>
          </w:tcPr>
          <w:p w14:paraId="2467DE6A" w14:textId="77777777" w:rsidR="00BA3E87" w:rsidRDefault="000B2BF4">
            <w:pPr>
              <w:keepNext/>
              <w:keepLines/>
              <w:spacing w:after="0" w:line="240" w:lineRule="auto"/>
            </w:pPr>
            <w:r>
              <w:rPr>
                <w:sz w:val="18"/>
              </w:rPr>
              <w:t>Rezultat - višak/manjak (šifre 9221-9222)</w:t>
            </w:r>
          </w:p>
        </w:tc>
        <w:tc>
          <w:tcPr>
            <w:tcW w:w="700" w:type="dxa"/>
            <w:tcMar>
              <w:top w:w="0" w:type="dxa"/>
              <w:bottom w:w="0" w:type="dxa"/>
            </w:tcMar>
            <w:vAlign w:val="center"/>
          </w:tcPr>
          <w:p w14:paraId="3FCC4E6B" w14:textId="77777777" w:rsidR="00BA3E87" w:rsidRDefault="000B2BF4">
            <w:pPr>
              <w:keepNext/>
              <w:keepLines/>
              <w:spacing w:after="0" w:line="240" w:lineRule="auto"/>
            </w:pPr>
            <w:r>
              <w:rPr>
                <w:sz w:val="18"/>
              </w:rPr>
              <w:t>922</w:t>
            </w:r>
          </w:p>
        </w:tc>
        <w:tc>
          <w:tcPr>
            <w:tcW w:w="1860" w:type="dxa"/>
            <w:tcMar>
              <w:top w:w="0" w:type="dxa"/>
              <w:bottom w:w="0" w:type="dxa"/>
            </w:tcMar>
            <w:vAlign w:val="center"/>
          </w:tcPr>
          <w:p w14:paraId="1BE92468" w14:textId="77777777" w:rsidR="00BA3E87" w:rsidRDefault="000B2BF4">
            <w:pPr>
              <w:keepNext/>
              <w:keepLines/>
              <w:spacing w:after="0" w:line="240" w:lineRule="auto"/>
              <w:jc w:val="right"/>
            </w:pPr>
            <w:r>
              <w:rPr>
                <w:sz w:val="18"/>
              </w:rPr>
              <w:t>12.063.069,29</w:t>
            </w:r>
          </w:p>
        </w:tc>
        <w:tc>
          <w:tcPr>
            <w:tcW w:w="1860" w:type="dxa"/>
            <w:tcMar>
              <w:top w:w="0" w:type="dxa"/>
              <w:bottom w:w="0" w:type="dxa"/>
            </w:tcMar>
            <w:vAlign w:val="center"/>
          </w:tcPr>
          <w:p w14:paraId="5A2672D6" w14:textId="77777777" w:rsidR="00BA3E87" w:rsidRDefault="000B2BF4">
            <w:pPr>
              <w:keepNext/>
              <w:keepLines/>
              <w:spacing w:after="0" w:line="240" w:lineRule="auto"/>
              <w:jc w:val="right"/>
            </w:pPr>
            <w:r>
              <w:rPr>
                <w:sz w:val="18"/>
              </w:rPr>
              <w:t>7.997.028,39</w:t>
            </w:r>
          </w:p>
        </w:tc>
        <w:tc>
          <w:tcPr>
            <w:tcW w:w="700" w:type="dxa"/>
            <w:tcMar>
              <w:top w:w="0" w:type="dxa"/>
              <w:bottom w:w="0" w:type="dxa"/>
            </w:tcMar>
            <w:vAlign w:val="center"/>
          </w:tcPr>
          <w:p w14:paraId="10105968" w14:textId="77777777" w:rsidR="00BA3E87" w:rsidRDefault="000B2BF4">
            <w:pPr>
              <w:keepNext/>
              <w:keepLines/>
              <w:spacing w:after="0" w:line="240" w:lineRule="auto"/>
              <w:jc w:val="right"/>
            </w:pPr>
            <w:r>
              <w:rPr>
                <w:sz w:val="18"/>
              </w:rPr>
              <w:t>66,3</w:t>
            </w:r>
          </w:p>
        </w:tc>
      </w:tr>
    </w:tbl>
    <w:p w14:paraId="3D08D849" w14:textId="77777777" w:rsidR="00BA3E87" w:rsidRDefault="00BA3E87">
      <w:pPr>
        <w:spacing w:after="0"/>
      </w:pPr>
    </w:p>
    <w:p w14:paraId="175E49DB" w14:textId="77777777" w:rsidR="00BA3E87" w:rsidRDefault="000B2BF4">
      <w:pPr>
        <w:jc w:val="both"/>
      </w:pPr>
      <w:r>
        <w:t>Ukupan rezultat u Bilanci (šifra 922) uključuje zbroj prenesenog viška prihoda i primitaka (12.063.069,29 eura), viška ostvarenog povratima sredstava predfinanciranja izvršenih od strane osnovnih i srednjih škola (965.353,34 eura), manjka zbog povrata neutrošenih sredstava po projektu Socijalni plan Varaždinske županije (12.992,84 eura)  i ostvarenog manjka prihoda i primitaka tekuće godine 5.018.401,40 eura) te je iskazan u iznosu od 7.997.028,39 eura. Na tekućem rezultatu 2025. godine provedena je obvezna korekcija rezultata za iznose kapitalnih prijenosa sredstava ostvarenih tijekom 2025. godine koji su utrošeni za nabavu nefinancijske imovine u iznosu od ukupno 477.542,98 eura, a evidentirana je zaduženjem računa viška prihoda poslovanja te odobrenjem računa manjka prihoda od nefinancijske imovine, kako slijedi:</w:t>
      </w:r>
      <w:r>
        <w:br/>
        <w:t>-    kapitalna pomoć iz državnog proračuna temeljem prijenosa EU sredstava (račun 63821) u iznosu 394.189,78 eura za projekt Energetska obnova upravne zgrade u Ivancu, koja je utrošena za ulaganja evidentirana unutar rashoda za nabavu nefinancijske imovine iz razreda 4;</w:t>
      </w:r>
      <w:r>
        <w:br/>
        <w:t>-    kapitalna pomoć iz državnog proračuna temeljem prijenosa EU sredstava (račun 63821) u iznosu 13.353,20 eura za projekt Arboretum Opeka-održiva zelena destinacija, koja je utrošena za ulaganja evidentirana unutar rashoda za nabavu nefinancijske imovine iz razreda 4;</w:t>
      </w:r>
      <w:r>
        <w:br/>
      </w:r>
      <w:r>
        <w:lastRenderedPageBreak/>
        <w:t>-    kapitalna pomoć iz državnog proračuna (račun 63321) u iznosu od 60.000,00 eura za projekt rekonstrukcije atrija Županijske palače, koja je utrošena za radove iskazane unutar rashoda za nabavu nefinancijske imovine iz razreda 4; </w:t>
      </w:r>
      <w:r>
        <w:br/>
        <w:t>-    kapitalna pomoć iz državnog proračuna (račun 63321) u iznosu od 10.000,00 eura za dokumentaciju potrebnu za obnovu dvorca Bela I koja je evidentirana unutar rashoda iz razreda 4.</w:t>
      </w:r>
    </w:p>
    <w:p w14:paraId="1744082A" w14:textId="77777777" w:rsidR="00BA3E87" w:rsidRDefault="00BA3E87"/>
    <w:p w14:paraId="27F9F02D" w14:textId="77777777" w:rsidR="00BA3E87" w:rsidRDefault="000B2BF4">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19A1A508" w14:textId="77777777">
        <w:trPr>
          <w:cantSplit/>
        </w:trPr>
        <w:tc>
          <w:tcPr>
            <w:tcW w:w="700" w:type="dxa"/>
            <w:shd w:val="clear" w:color="auto" w:fill="E7F0F9"/>
            <w:tcMar>
              <w:top w:w="0" w:type="dxa"/>
              <w:bottom w:w="0" w:type="dxa"/>
            </w:tcMar>
            <w:vAlign w:val="center"/>
          </w:tcPr>
          <w:p w14:paraId="3A7FBBAD"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4FA0B5"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D516D1"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D952AC" w14:textId="77777777" w:rsidR="00BA3E87" w:rsidRDefault="000B2BF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458F57" w14:textId="77777777" w:rsidR="00BA3E87" w:rsidRDefault="000B2BF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98C3EF" w14:textId="77777777" w:rsidR="00BA3E87" w:rsidRDefault="000B2BF4">
            <w:pPr>
              <w:keepNext/>
              <w:keepLines/>
              <w:spacing w:after="0" w:line="240" w:lineRule="auto"/>
              <w:jc w:val="center"/>
            </w:pPr>
            <w:r>
              <w:rPr>
                <w:b/>
                <w:sz w:val="18"/>
              </w:rPr>
              <w:t>Indeks (%)</w:t>
            </w:r>
          </w:p>
        </w:tc>
      </w:tr>
      <w:tr w:rsidR="00BA3E87" w14:paraId="2D608419" w14:textId="77777777">
        <w:trPr>
          <w:cantSplit/>
          <w:trHeight w:val="560"/>
        </w:trPr>
        <w:tc>
          <w:tcPr>
            <w:tcW w:w="700" w:type="dxa"/>
            <w:tcMar>
              <w:top w:w="0" w:type="dxa"/>
              <w:bottom w:w="0" w:type="dxa"/>
            </w:tcMar>
            <w:vAlign w:val="center"/>
          </w:tcPr>
          <w:p w14:paraId="6944EB63" w14:textId="77777777" w:rsidR="00BA3E87" w:rsidRDefault="000B2BF4">
            <w:pPr>
              <w:keepNext/>
              <w:keepLines/>
              <w:spacing w:after="0" w:line="240" w:lineRule="auto"/>
            </w:pPr>
            <w:r>
              <w:rPr>
                <w:sz w:val="18"/>
              </w:rPr>
              <w:t>991</w:t>
            </w:r>
          </w:p>
        </w:tc>
        <w:tc>
          <w:tcPr>
            <w:tcW w:w="3180" w:type="dxa"/>
            <w:tcMar>
              <w:top w:w="0" w:type="dxa"/>
              <w:bottom w:w="0" w:type="dxa"/>
            </w:tcMar>
            <w:vAlign w:val="center"/>
          </w:tcPr>
          <w:p w14:paraId="140719BF" w14:textId="77777777" w:rsidR="00BA3E87" w:rsidRDefault="000B2BF4">
            <w:pPr>
              <w:keepNext/>
              <w:keepLines/>
              <w:spacing w:after="0" w:line="240" w:lineRule="auto"/>
            </w:pPr>
            <w:r>
              <w:rPr>
                <w:sz w:val="18"/>
              </w:rPr>
              <w:t>Izvanbilančni zapisi - aktiva (šifra 996)</w:t>
            </w:r>
          </w:p>
        </w:tc>
        <w:tc>
          <w:tcPr>
            <w:tcW w:w="700" w:type="dxa"/>
            <w:tcMar>
              <w:top w:w="0" w:type="dxa"/>
              <w:bottom w:w="0" w:type="dxa"/>
            </w:tcMar>
            <w:vAlign w:val="center"/>
          </w:tcPr>
          <w:p w14:paraId="6F7373A0" w14:textId="77777777" w:rsidR="00BA3E87" w:rsidRDefault="000B2BF4">
            <w:pPr>
              <w:keepNext/>
              <w:keepLines/>
              <w:spacing w:after="0" w:line="240" w:lineRule="auto"/>
            </w:pPr>
            <w:r>
              <w:rPr>
                <w:sz w:val="18"/>
              </w:rPr>
              <w:t>991</w:t>
            </w:r>
          </w:p>
        </w:tc>
        <w:tc>
          <w:tcPr>
            <w:tcW w:w="1860" w:type="dxa"/>
            <w:tcMar>
              <w:top w:w="0" w:type="dxa"/>
              <w:bottom w:w="0" w:type="dxa"/>
            </w:tcMar>
            <w:vAlign w:val="center"/>
          </w:tcPr>
          <w:p w14:paraId="3B27A6A7" w14:textId="77777777" w:rsidR="00BA3E87" w:rsidRDefault="000B2BF4">
            <w:pPr>
              <w:keepNext/>
              <w:keepLines/>
              <w:spacing w:after="0" w:line="240" w:lineRule="auto"/>
              <w:jc w:val="right"/>
            </w:pPr>
            <w:r>
              <w:rPr>
                <w:sz w:val="18"/>
              </w:rPr>
              <w:t>68.348.711,28</w:t>
            </w:r>
          </w:p>
        </w:tc>
        <w:tc>
          <w:tcPr>
            <w:tcW w:w="1860" w:type="dxa"/>
            <w:tcMar>
              <w:top w:w="0" w:type="dxa"/>
              <w:bottom w:w="0" w:type="dxa"/>
            </w:tcMar>
            <w:vAlign w:val="center"/>
          </w:tcPr>
          <w:p w14:paraId="7B31334D" w14:textId="77777777" w:rsidR="00BA3E87" w:rsidRDefault="000B2BF4">
            <w:pPr>
              <w:keepNext/>
              <w:keepLines/>
              <w:spacing w:after="0" w:line="240" w:lineRule="auto"/>
              <w:jc w:val="right"/>
            </w:pPr>
            <w:r>
              <w:rPr>
                <w:sz w:val="18"/>
              </w:rPr>
              <w:t>104.510.065,17</w:t>
            </w:r>
          </w:p>
        </w:tc>
        <w:tc>
          <w:tcPr>
            <w:tcW w:w="700" w:type="dxa"/>
            <w:tcMar>
              <w:top w:w="0" w:type="dxa"/>
              <w:bottom w:w="0" w:type="dxa"/>
            </w:tcMar>
            <w:vAlign w:val="center"/>
          </w:tcPr>
          <w:p w14:paraId="2989FAA0" w14:textId="77777777" w:rsidR="00BA3E87" w:rsidRDefault="000B2BF4">
            <w:pPr>
              <w:keepNext/>
              <w:keepLines/>
              <w:spacing w:after="0" w:line="240" w:lineRule="auto"/>
              <w:jc w:val="right"/>
            </w:pPr>
            <w:r>
              <w:rPr>
                <w:sz w:val="18"/>
              </w:rPr>
              <w:t>152,9</w:t>
            </w:r>
          </w:p>
        </w:tc>
      </w:tr>
    </w:tbl>
    <w:p w14:paraId="6AB880DB" w14:textId="77777777" w:rsidR="00BA3E87" w:rsidRDefault="00BA3E87">
      <w:pPr>
        <w:spacing w:after="0"/>
      </w:pPr>
    </w:p>
    <w:p w14:paraId="4334403A" w14:textId="77777777" w:rsidR="00BA3E87" w:rsidRDefault="000B2BF4">
      <w:pPr>
        <w:jc w:val="both"/>
      </w:pPr>
      <w:r>
        <w:t>Izvanbilančni zapisi (šifre 991 i 996) veći su zbog promjena u evidenciji od 1. siječnja 2025. godine sukladno odredbama novog Pravilnika o proračunskom računovodstvu i Računskom planu („Narodne novine“ br. 158/23 i 154 / 24). Najveći iznosi odnose se na račun 99171 Potraživanja po ugovorima o dodijeljenim bespovratnim sredstvima iz EU fondova (24.721.982,81 eura), račun 99141 Instrumenti osiguranja plaćanja (11.692.148,57 eura) i račun 99152 Preuzete obveze po ugovorima o nabavi roba, radova i usluga (8.222.584,68 eura).</w:t>
      </w:r>
    </w:p>
    <w:p w14:paraId="4690D5C6" w14:textId="77777777" w:rsidR="00BA3E87" w:rsidRDefault="00BA3E87"/>
    <w:p w14:paraId="3D65EB91" w14:textId="77777777" w:rsidR="00BA3E87" w:rsidRDefault="000B2BF4">
      <w:pPr>
        <w:keepNext/>
        <w:spacing w:line="240" w:lineRule="auto"/>
        <w:jc w:val="center"/>
      </w:pPr>
      <w:r>
        <w:rPr>
          <w:b/>
          <w:sz w:val="28"/>
        </w:rPr>
        <w:t>Promjene u vrijednosti i obujmu imovine i obveza</w:t>
      </w:r>
    </w:p>
    <w:p w14:paraId="0A0ADCF7" w14:textId="77777777" w:rsidR="00BA3E87" w:rsidRDefault="000B2BF4">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328DA862" w14:textId="77777777">
        <w:trPr>
          <w:cantSplit/>
        </w:trPr>
        <w:tc>
          <w:tcPr>
            <w:tcW w:w="700" w:type="dxa"/>
            <w:shd w:val="clear" w:color="auto" w:fill="E7F0F9"/>
            <w:tcMar>
              <w:top w:w="0" w:type="dxa"/>
              <w:bottom w:w="0" w:type="dxa"/>
            </w:tcMar>
            <w:vAlign w:val="center"/>
          </w:tcPr>
          <w:p w14:paraId="5DCBA78D"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E7B26C"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B4D026"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A1FF66" w14:textId="77777777" w:rsidR="00BA3E87" w:rsidRDefault="000B2BF4">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BCFAB5F" w14:textId="77777777" w:rsidR="00BA3E87" w:rsidRDefault="000B2BF4">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8EE21A7" w14:textId="77777777" w:rsidR="00BA3E87" w:rsidRDefault="000B2BF4">
            <w:pPr>
              <w:keepNext/>
              <w:keepLines/>
              <w:spacing w:after="0" w:line="240" w:lineRule="auto"/>
              <w:jc w:val="center"/>
            </w:pPr>
            <w:r>
              <w:rPr>
                <w:b/>
                <w:sz w:val="18"/>
              </w:rPr>
              <w:t>Indeks (%)</w:t>
            </w:r>
          </w:p>
        </w:tc>
      </w:tr>
      <w:tr w:rsidR="00BA3E87" w14:paraId="77848C96" w14:textId="77777777">
        <w:trPr>
          <w:cantSplit/>
          <w:trHeight w:val="560"/>
        </w:trPr>
        <w:tc>
          <w:tcPr>
            <w:tcW w:w="700" w:type="dxa"/>
            <w:tcMar>
              <w:top w:w="0" w:type="dxa"/>
              <w:bottom w:w="0" w:type="dxa"/>
            </w:tcMar>
            <w:vAlign w:val="center"/>
          </w:tcPr>
          <w:p w14:paraId="7F819196" w14:textId="77777777" w:rsidR="00BA3E87" w:rsidRDefault="000B2BF4">
            <w:pPr>
              <w:keepNext/>
              <w:keepLines/>
              <w:spacing w:after="0" w:line="240" w:lineRule="auto"/>
            </w:pPr>
            <w:r>
              <w:rPr>
                <w:sz w:val="18"/>
              </w:rPr>
              <w:t>9151</w:t>
            </w:r>
          </w:p>
        </w:tc>
        <w:tc>
          <w:tcPr>
            <w:tcW w:w="3180" w:type="dxa"/>
            <w:tcMar>
              <w:top w:w="0" w:type="dxa"/>
              <w:bottom w:w="0" w:type="dxa"/>
            </w:tcMar>
            <w:vAlign w:val="center"/>
          </w:tcPr>
          <w:p w14:paraId="28BB2D77" w14:textId="77777777" w:rsidR="00BA3E87" w:rsidRDefault="000B2BF4">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2FCBFF61" w14:textId="77777777" w:rsidR="00BA3E87" w:rsidRDefault="000B2BF4">
            <w:pPr>
              <w:keepNext/>
              <w:keepLines/>
              <w:spacing w:after="0" w:line="240" w:lineRule="auto"/>
            </w:pPr>
            <w:r>
              <w:rPr>
                <w:sz w:val="18"/>
              </w:rPr>
              <w:t>9151</w:t>
            </w:r>
          </w:p>
        </w:tc>
        <w:tc>
          <w:tcPr>
            <w:tcW w:w="1860" w:type="dxa"/>
            <w:tcMar>
              <w:top w:w="0" w:type="dxa"/>
              <w:bottom w:w="0" w:type="dxa"/>
            </w:tcMar>
            <w:vAlign w:val="center"/>
          </w:tcPr>
          <w:p w14:paraId="4010FB37" w14:textId="77777777" w:rsidR="00BA3E87" w:rsidRDefault="000B2BF4">
            <w:pPr>
              <w:keepNext/>
              <w:keepLines/>
              <w:spacing w:after="0" w:line="240" w:lineRule="auto"/>
              <w:jc w:val="right"/>
            </w:pPr>
            <w:r>
              <w:rPr>
                <w:sz w:val="18"/>
              </w:rPr>
              <w:t>15.715,27</w:t>
            </w:r>
          </w:p>
        </w:tc>
        <w:tc>
          <w:tcPr>
            <w:tcW w:w="1860" w:type="dxa"/>
            <w:tcMar>
              <w:top w:w="0" w:type="dxa"/>
              <w:bottom w:w="0" w:type="dxa"/>
            </w:tcMar>
            <w:vAlign w:val="center"/>
          </w:tcPr>
          <w:p w14:paraId="668231B0" w14:textId="77777777" w:rsidR="00BA3E87" w:rsidRDefault="000B2BF4">
            <w:pPr>
              <w:keepNext/>
              <w:keepLines/>
              <w:spacing w:after="0" w:line="240" w:lineRule="auto"/>
              <w:jc w:val="right"/>
            </w:pPr>
            <w:r>
              <w:rPr>
                <w:sz w:val="18"/>
              </w:rPr>
              <w:t>810.607,20</w:t>
            </w:r>
          </w:p>
        </w:tc>
        <w:tc>
          <w:tcPr>
            <w:tcW w:w="700" w:type="dxa"/>
            <w:tcMar>
              <w:top w:w="0" w:type="dxa"/>
              <w:bottom w:w="0" w:type="dxa"/>
            </w:tcMar>
            <w:vAlign w:val="center"/>
          </w:tcPr>
          <w:p w14:paraId="2BB91C6F" w14:textId="77777777" w:rsidR="00BA3E87" w:rsidRDefault="000B2BF4">
            <w:pPr>
              <w:keepNext/>
              <w:keepLines/>
              <w:spacing w:after="0" w:line="240" w:lineRule="auto"/>
              <w:jc w:val="right"/>
            </w:pPr>
            <w:r>
              <w:rPr>
                <w:sz w:val="18"/>
              </w:rPr>
              <w:t>5158,1</w:t>
            </w:r>
          </w:p>
        </w:tc>
      </w:tr>
    </w:tbl>
    <w:p w14:paraId="33125486" w14:textId="77777777" w:rsidR="00BA3E87" w:rsidRDefault="00BA3E87">
      <w:pPr>
        <w:spacing w:after="0"/>
      </w:pPr>
    </w:p>
    <w:p w14:paraId="6141603C" w14:textId="77777777" w:rsidR="00BA3E87" w:rsidRDefault="000B2BF4">
      <w:pPr>
        <w:jc w:val="both"/>
      </w:pPr>
      <w:r>
        <w:t>U obrascu P-VRIO iskazuju se promjene u vrijednosti i obujmu imovine i obveza tijekom 2025. godine, koje nisu posljedica prihoda odnosno rashoda niti novčanog tijeka, a utjecale su na smanjenje ili povećanje imovine Županije.</w:t>
      </w:r>
    </w:p>
    <w:p w14:paraId="2415C98C" w14:textId="77777777" w:rsidR="00BA3E87" w:rsidRDefault="00BA3E87"/>
    <w:p w14:paraId="72E1BAFA" w14:textId="77777777" w:rsidR="00BA3E87" w:rsidRDefault="000B2BF4">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460A539E" w14:textId="77777777">
        <w:trPr>
          <w:cantSplit/>
        </w:trPr>
        <w:tc>
          <w:tcPr>
            <w:tcW w:w="700" w:type="dxa"/>
            <w:shd w:val="clear" w:color="auto" w:fill="E7F0F9"/>
            <w:tcMar>
              <w:top w:w="0" w:type="dxa"/>
              <w:bottom w:w="0" w:type="dxa"/>
            </w:tcMar>
            <w:vAlign w:val="center"/>
          </w:tcPr>
          <w:p w14:paraId="58CEEEB9"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A90A3F"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FAE0F7"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95218D" w14:textId="77777777" w:rsidR="00BA3E87" w:rsidRDefault="000B2BF4">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B34CC15" w14:textId="77777777" w:rsidR="00BA3E87" w:rsidRDefault="000B2BF4">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385FB67" w14:textId="77777777" w:rsidR="00BA3E87" w:rsidRDefault="000B2BF4">
            <w:pPr>
              <w:keepNext/>
              <w:keepLines/>
              <w:spacing w:after="0" w:line="240" w:lineRule="auto"/>
              <w:jc w:val="center"/>
            </w:pPr>
            <w:r>
              <w:rPr>
                <w:b/>
                <w:sz w:val="18"/>
              </w:rPr>
              <w:t>Indeks (%)</w:t>
            </w:r>
          </w:p>
        </w:tc>
      </w:tr>
      <w:tr w:rsidR="00BA3E87" w14:paraId="294369A0" w14:textId="77777777">
        <w:trPr>
          <w:cantSplit/>
          <w:trHeight w:val="560"/>
        </w:trPr>
        <w:tc>
          <w:tcPr>
            <w:tcW w:w="700" w:type="dxa"/>
            <w:tcMar>
              <w:top w:w="0" w:type="dxa"/>
              <w:bottom w:w="0" w:type="dxa"/>
            </w:tcMar>
            <w:vAlign w:val="center"/>
          </w:tcPr>
          <w:p w14:paraId="1536ACE4" w14:textId="77777777" w:rsidR="00BA3E87" w:rsidRDefault="00BA3E87">
            <w:pPr>
              <w:keepNext/>
              <w:keepLines/>
              <w:spacing w:after="0" w:line="240" w:lineRule="auto"/>
            </w:pPr>
          </w:p>
        </w:tc>
        <w:tc>
          <w:tcPr>
            <w:tcW w:w="3180" w:type="dxa"/>
            <w:tcMar>
              <w:top w:w="0" w:type="dxa"/>
              <w:bottom w:w="0" w:type="dxa"/>
            </w:tcMar>
            <w:vAlign w:val="center"/>
          </w:tcPr>
          <w:p w14:paraId="6D936E28" w14:textId="77777777" w:rsidR="00BA3E87" w:rsidRDefault="000B2BF4">
            <w:pPr>
              <w:keepNext/>
              <w:keepLines/>
              <w:spacing w:after="0" w:line="240" w:lineRule="auto"/>
            </w:pPr>
            <w:r>
              <w:rPr>
                <w:sz w:val="18"/>
              </w:rPr>
              <w:t>Promjene u vrijednosti nefinancijske imovine (šifre P002 do P007)</w:t>
            </w:r>
          </w:p>
        </w:tc>
        <w:tc>
          <w:tcPr>
            <w:tcW w:w="700" w:type="dxa"/>
            <w:tcMar>
              <w:top w:w="0" w:type="dxa"/>
              <w:bottom w:w="0" w:type="dxa"/>
            </w:tcMar>
            <w:vAlign w:val="center"/>
          </w:tcPr>
          <w:p w14:paraId="4BF5F1BC" w14:textId="77777777" w:rsidR="00BA3E87" w:rsidRDefault="000B2BF4">
            <w:pPr>
              <w:keepNext/>
              <w:keepLines/>
              <w:spacing w:after="0" w:line="240" w:lineRule="auto"/>
            </w:pPr>
            <w:r>
              <w:rPr>
                <w:sz w:val="18"/>
              </w:rPr>
              <w:t>P001</w:t>
            </w:r>
          </w:p>
        </w:tc>
        <w:tc>
          <w:tcPr>
            <w:tcW w:w="1860" w:type="dxa"/>
            <w:tcMar>
              <w:top w:w="0" w:type="dxa"/>
              <w:bottom w:w="0" w:type="dxa"/>
            </w:tcMar>
            <w:vAlign w:val="center"/>
          </w:tcPr>
          <w:p w14:paraId="3547A738" w14:textId="77777777" w:rsidR="00BA3E87" w:rsidRDefault="000B2BF4">
            <w:pPr>
              <w:keepNext/>
              <w:keepLines/>
              <w:spacing w:after="0" w:line="240" w:lineRule="auto"/>
              <w:jc w:val="right"/>
            </w:pPr>
            <w:r>
              <w:rPr>
                <w:sz w:val="18"/>
              </w:rPr>
              <w:t>0,00</w:t>
            </w:r>
          </w:p>
        </w:tc>
        <w:tc>
          <w:tcPr>
            <w:tcW w:w="1860" w:type="dxa"/>
            <w:tcMar>
              <w:top w:w="0" w:type="dxa"/>
              <w:bottom w:w="0" w:type="dxa"/>
            </w:tcMar>
            <w:vAlign w:val="center"/>
          </w:tcPr>
          <w:p w14:paraId="18E6D4BB" w14:textId="77777777" w:rsidR="00BA3E87" w:rsidRDefault="000B2BF4">
            <w:pPr>
              <w:keepNext/>
              <w:keepLines/>
              <w:spacing w:after="0" w:line="240" w:lineRule="auto"/>
              <w:jc w:val="right"/>
            </w:pPr>
            <w:r>
              <w:rPr>
                <w:sz w:val="18"/>
              </w:rPr>
              <w:t>803.125,89</w:t>
            </w:r>
          </w:p>
        </w:tc>
        <w:tc>
          <w:tcPr>
            <w:tcW w:w="700" w:type="dxa"/>
            <w:tcMar>
              <w:top w:w="0" w:type="dxa"/>
              <w:bottom w:w="0" w:type="dxa"/>
            </w:tcMar>
            <w:vAlign w:val="center"/>
          </w:tcPr>
          <w:p w14:paraId="6A7BC50D" w14:textId="77777777" w:rsidR="00BA3E87" w:rsidRDefault="000B2BF4">
            <w:pPr>
              <w:keepNext/>
              <w:keepLines/>
              <w:spacing w:after="0" w:line="240" w:lineRule="auto"/>
              <w:jc w:val="right"/>
            </w:pPr>
            <w:r>
              <w:rPr>
                <w:sz w:val="18"/>
              </w:rPr>
              <w:t>-</w:t>
            </w:r>
          </w:p>
        </w:tc>
      </w:tr>
    </w:tbl>
    <w:p w14:paraId="1A37FA2A" w14:textId="77777777" w:rsidR="00BA3E87" w:rsidRDefault="00BA3E87">
      <w:pPr>
        <w:spacing w:after="0"/>
      </w:pPr>
    </w:p>
    <w:p w14:paraId="7084EB55" w14:textId="77777777" w:rsidR="00BA3E87" w:rsidRDefault="000B2BF4">
      <w:pPr>
        <w:jc w:val="both"/>
      </w:pPr>
      <w:r>
        <w:t>Smanjenje vrijednosti nefinancijske imovine najvećim dijelom odnosi se na ispravak vrijednosti proizvedene i neproizvedene dugotrajne imovine.</w:t>
      </w:r>
    </w:p>
    <w:p w14:paraId="3645000F" w14:textId="77777777" w:rsidR="00BA3E87" w:rsidRDefault="00BA3E87"/>
    <w:p w14:paraId="102013BF" w14:textId="77777777" w:rsidR="00BA3E87" w:rsidRDefault="000B2BF4">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60D81A2A" w14:textId="77777777">
        <w:trPr>
          <w:cantSplit/>
        </w:trPr>
        <w:tc>
          <w:tcPr>
            <w:tcW w:w="700" w:type="dxa"/>
            <w:shd w:val="clear" w:color="auto" w:fill="E7F0F9"/>
            <w:tcMar>
              <w:top w:w="0" w:type="dxa"/>
              <w:bottom w:w="0" w:type="dxa"/>
            </w:tcMar>
            <w:vAlign w:val="center"/>
          </w:tcPr>
          <w:p w14:paraId="39A24720"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8F6E12"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7E5B0B"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7778CF" w14:textId="77777777" w:rsidR="00BA3E87" w:rsidRDefault="000B2BF4">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A625F6F" w14:textId="77777777" w:rsidR="00BA3E87" w:rsidRDefault="000B2BF4">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AF4150A" w14:textId="77777777" w:rsidR="00BA3E87" w:rsidRDefault="000B2BF4">
            <w:pPr>
              <w:keepNext/>
              <w:keepLines/>
              <w:spacing w:after="0" w:line="240" w:lineRule="auto"/>
              <w:jc w:val="center"/>
            </w:pPr>
            <w:r>
              <w:rPr>
                <w:b/>
                <w:sz w:val="18"/>
              </w:rPr>
              <w:t>Indeks (%)</w:t>
            </w:r>
          </w:p>
        </w:tc>
      </w:tr>
      <w:tr w:rsidR="00BA3E87" w14:paraId="165CAAAE" w14:textId="77777777">
        <w:trPr>
          <w:cantSplit/>
          <w:trHeight w:val="560"/>
        </w:trPr>
        <w:tc>
          <w:tcPr>
            <w:tcW w:w="700" w:type="dxa"/>
            <w:tcMar>
              <w:top w:w="0" w:type="dxa"/>
              <w:bottom w:w="0" w:type="dxa"/>
            </w:tcMar>
            <w:vAlign w:val="center"/>
          </w:tcPr>
          <w:p w14:paraId="5D70AEEC" w14:textId="77777777" w:rsidR="00BA3E87" w:rsidRDefault="00BA3E87">
            <w:pPr>
              <w:keepNext/>
              <w:keepLines/>
              <w:spacing w:after="0" w:line="240" w:lineRule="auto"/>
            </w:pPr>
          </w:p>
        </w:tc>
        <w:tc>
          <w:tcPr>
            <w:tcW w:w="3180" w:type="dxa"/>
            <w:tcMar>
              <w:top w:w="0" w:type="dxa"/>
              <w:bottom w:w="0" w:type="dxa"/>
            </w:tcMar>
            <w:vAlign w:val="center"/>
          </w:tcPr>
          <w:p w14:paraId="46F382A1" w14:textId="77777777" w:rsidR="00BA3E87" w:rsidRDefault="000B2BF4">
            <w:pPr>
              <w:keepNext/>
              <w:keepLines/>
              <w:spacing w:after="0" w:line="240" w:lineRule="auto"/>
            </w:pPr>
            <w:r>
              <w:rPr>
                <w:sz w:val="18"/>
              </w:rPr>
              <w:t>Financijski instrumenti - dionice i udjeli u glavnici</w:t>
            </w:r>
          </w:p>
        </w:tc>
        <w:tc>
          <w:tcPr>
            <w:tcW w:w="700" w:type="dxa"/>
            <w:tcMar>
              <w:top w:w="0" w:type="dxa"/>
              <w:bottom w:w="0" w:type="dxa"/>
            </w:tcMar>
            <w:vAlign w:val="center"/>
          </w:tcPr>
          <w:p w14:paraId="06E72DBD" w14:textId="77777777" w:rsidR="00BA3E87" w:rsidRDefault="000B2BF4">
            <w:pPr>
              <w:keepNext/>
              <w:keepLines/>
              <w:spacing w:after="0" w:line="240" w:lineRule="auto"/>
            </w:pPr>
            <w:r>
              <w:rPr>
                <w:sz w:val="18"/>
              </w:rPr>
              <w:t>P013</w:t>
            </w:r>
          </w:p>
        </w:tc>
        <w:tc>
          <w:tcPr>
            <w:tcW w:w="1860" w:type="dxa"/>
            <w:tcMar>
              <w:top w:w="0" w:type="dxa"/>
              <w:bottom w:w="0" w:type="dxa"/>
            </w:tcMar>
            <w:vAlign w:val="center"/>
          </w:tcPr>
          <w:p w14:paraId="6DD25791" w14:textId="77777777" w:rsidR="00BA3E87" w:rsidRDefault="000B2BF4">
            <w:pPr>
              <w:keepNext/>
              <w:keepLines/>
              <w:spacing w:after="0" w:line="240" w:lineRule="auto"/>
              <w:jc w:val="right"/>
            </w:pPr>
            <w:r>
              <w:rPr>
                <w:sz w:val="18"/>
              </w:rPr>
              <w:t>15.715,27</w:t>
            </w:r>
          </w:p>
        </w:tc>
        <w:tc>
          <w:tcPr>
            <w:tcW w:w="1860" w:type="dxa"/>
            <w:tcMar>
              <w:top w:w="0" w:type="dxa"/>
              <w:bottom w:w="0" w:type="dxa"/>
            </w:tcMar>
            <w:vAlign w:val="center"/>
          </w:tcPr>
          <w:p w14:paraId="39764073" w14:textId="77777777" w:rsidR="00BA3E87" w:rsidRDefault="000B2BF4">
            <w:pPr>
              <w:keepNext/>
              <w:keepLines/>
              <w:spacing w:after="0" w:line="240" w:lineRule="auto"/>
              <w:jc w:val="right"/>
            </w:pPr>
            <w:r>
              <w:rPr>
                <w:sz w:val="18"/>
              </w:rPr>
              <w:t>37,19</w:t>
            </w:r>
          </w:p>
        </w:tc>
        <w:tc>
          <w:tcPr>
            <w:tcW w:w="700" w:type="dxa"/>
            <w:tcMar>
              <w:top w:w="0" w:type="dxa"/>
              <w:bottom w:w="0" w:type="dxa"/>
            </w:tcMar>
            <w:vAlign w:val="center"/>
          </w:tcPr>
          <w:p w14:paraId="08934F7A" w14:textId="77777777" w:rsidR="00BA3E87" w:rsidRDefault="000B2BF4">
            <w:pPr>
              <w:keepNext/>
              <w:keepLines/>
              <w:spacing w:after="0" w:line="240" w:lineRule="auto"/>
              <w:jc w:val="right"/>
            </w:pPr>
            <w:r>
              <w:rPr>
                <w:sz w:val="18"/>
              </w:rPr>
              <w:t>0,2</w:t>
            </w:r>
          </w:p>
        </w:tc>
      </w:tr>
    </w:tbl>
    <w:p w14:paraId="7C0C80E4" w14:textId="77777777" w:rsidR="00BA3E87" w:rsidRDefault="00BA3E87">
      <w:pPr>
        <w:spacing w:after="0"/>
      </w:pPr>
    </w:p>
    <w:p w14:paraId="06B9A710" w14:textId="77777777" w:rsidR="00BA3E87" w:rsidRDefault="000B2BF4">
      <w:r>
        <w:t>Povećanje vrijednosti financijske imovine odnosi se na povećanje nominalnog iznosa dionica PZC Varaždin d.d.</w:t>
      </w:r>
    </w:p>
    <w:p w14:paraId="1B4ACA96" w14:textId="77777777" w:rsidR="00BA3E87" w:rsidRDefault="00BA3E87"/>
    <w:p w14:paraId="1F4A91B2" w14:textId="77777777" w:rsidR="00BA3E87" w:rsidRDefault="000B2BF4">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3E87" w14:paraId="5FE6EDED" w14:textId="77777777">
        <w:trPr>
          <w:cantSplit/>
        </w:trPr>
        <w:tc>
          <w:tcPr>
            <w:tcW w:w="700" w:type="dxa"/>
            <w:shd w:val="clear" w:color="auto" w:fill="E7F0F9"/>
            <w:tcMar>
              <w:top w:w="0" w:type="dxa"/>
              <w:bottom w:w="0" w:type="dxa"/>
            </w:tcMar>
            <w:vAlign w:val="center"/>
          </w:tcPr>
          <w:p w14:paraId="0AC40BCB"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053215"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5F001B"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93F9A6" w14:textId="77777777" w:rsidR="00BA3E87" w:rsidRDefault="000B2BF4">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ADD6072" w14:textId="77777777" w:rsidR="00BA3E87" w:rsidRDefault="000B2BF4">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9C9DB17" w14:textId="77777777" w:rsidR="00BA3E87" w:rsidRDefault="000B2BF4">
            <w:pPr>
              <w:keepNext/>
              <w:keepLines/>
              <w:spacing w:after="0" w:line="240" w:lineRule="auto"/>
              <w:jc w:val="center"/>
            </w:pPr>
            <w:r>
              <w:rPr>
                <w:b/>
                <w:sz w:val="18"/>
              </w:rPr>
              <w:t>Indeks (%)</w:t>
            </w:r>
          </w:p>
        </w:tc>
      </w:tr>
      <w:tr w:rsidR="00BA3E87" w14:paraId="5DD37548" w14:textId="77777777">
        <w:trPr>
          <w:cantSplit/>
          <w:trHeight w:val="560"/>
        </w:trPr>
        <w:tc>
          <w:tcPr>
            <w:tcW w:w="700" w:type="dxa"/>
            <w:tcMar>
              <w:top w:w="0" w:type="dxa"/>
              <w:bottom w:w="0" w:type="dxa"/>
            </w:tcMar>
            <w:vAlign w:val="center"/>
          </w:tcPr>
          <w:p w14:paraId="39427E81" w14:textId="77777777" w:rsidR="00BA3E87" w:rsidRDefault="00BA3E87">
            <w:pPr>
              <w:keepNext/>
              <w:keepLines/>
              <w:spacing w:after="0" w:line="240" w:lineRule="auto"/>
            </w:pPr>
          </w:p>
        </w:tc>
        <w:tc>
          <w:tcPr>
            <w:tcW w:w="3180" w:type="dxa"/>
            <w:tcMar>
              <w:top w:w="0" w:type="dxa"/>
              <w:bottom w:w="0" w:type="dxa"/>
            </w:tcMar>
            <w:vAlign w:val="center"/>
          </w:tcPr>
          <w:p w14:paraId="46FBF9CC" w14:textId="77777777" w:rsidR="00BA3E87" w:rsidRDefault="000B2BF4">
            <w:pPr>
              <w:keepNext/>
              <w:keepLines/>
              <w:spacing w:after="0" w:line="240" w:lineRule="auto"/>
            </w:pPr>
            <w:r>
              <w:rPr>
                <w:sz w:val="18"/>
              </w:rPr>
              <w:t>Proizvedena dugotrajna imovina</w:t>
            </w:r>
          </w:p>
        </w:tc>
        <w:tc>
          <w:tcPr>
            <w:tcW w:w="700" w:type="dxa"/>
            <w:tcMar>
              <w:top w:w="0" w:type="dxa"/>
              <w:bottom w:w="0" w:type="dxa"/>
            </w:tcMar>
            <w:vAlign w:val="center"/>
          </w:tcPr>
          <w:p w14:paraId="4BAAE645" w14:textId="77777777" w:rsidR="00BA3E87" w:rsidRDefault="000B2BF4">
            <w:pPr>
              <w:keepNext/>
              <w:keepLines/>
              <w:spacing w:after="0" w:line="240" w:lineRule="auto"/>
            </w:pPr>
            <w:r>
              <w:rPr>
                <w:sz w:val="18"/>
              </w:rPr>
              <w:t>P018</w:t>
            </w:r>
          </w:p>
        </w:tc>
        <w:tc>
          <w:tcPr>
            <w:tcW w:w="1860" w:type="dxa"/>
            <w:tcMar>
              <w:top w:w="0" w:type="dxa"/>
              <w:bottom w:w="0" w:type="dxa"/>
            </w:tcMar>
            <w:vAlign w:val="center"/>
          </w:tcPr>
          <w:p w14:paraId="7650B2C4" w14:textId="77777777" w:rsidR="00BA3E87" w:rsidRDefault="000B2BF4">
            <w:pPr>
              <w:keepNext/>
              <w:keepLines/>
              <w:spacing w:after="0" w:line="240" w:lineRule="auto"/>
              <w:jc w:val="right"/>
            </w:pPr>
            <w:r>
              <w:rPr>
                <w:sz w:val="18"/>
              </w:rPr>
              <w:t>0,00</w:t>
            </w:r>
          </w:p>
        </w:tc>
        <w:tc>
          <w:tcPr>
            <w:tcW w:w="1860" w:type="dxa"/>
            <w:tcMar>
              <w:top w:w="0" w:type="dxa"/>
              <w:bottom w:w="0" w:type="dxa"/>
            </w:tcMar>
            <w:vAlign w:val="center"/>
          </w:tcPr>
          <w:p w14:paraId="10E6F0E8" w14:textId="77777777" w:rsidR="00BA3E87" w:rsidRDefault="000B2BF4">
            <w:pPr>
              <w:keepNext/>
              <w:keepLines/>
              <w:spacing w:after="0" w:line="240" w:lineRule="auto"/>
              <w:jc w:val="right"/>
            </w:pPr>
            <w:r>
              <w:rPr>
                <w:sz w:val="18"/>
              </w:rPr>
              <w:t>7.230,60</w:t>
            </w:r>
          </w:p>
        </w:tc>
        <w:tc>
          <w:tcPr>
            <w:tcW w:w="700" w:type="dxa"/>
            <w:tcMar>
              <w:top w:w="0" w:type="dxa"/>
              <w:bottom w:w="0" w:type="dxa"/>
            </w:tcMar>
            <w:vAlign w:val="center"/>
          </w:tcPr>
          <w:p w14:paraId="06B4B6BF" w14:textId="77777777" w:rsidR="00BA3E87" w:rsidRDefault="000B2BF4">
            <w:pPr>
              <w:keepNext/>
              <w:keepLines/>
              <w:spacing w:after="0" w:line="240" w:lineRule="auto"/>
              <w:jc w:val="right"/>
            </w:pPr>
            <w:r>
              <w:rPr>
                <w:sz w:val="18"/>
              </w:rPr>
              <w:t>-</w:t>
            </w:r>
          </w:p>
        </w:tc>
      </w:tr>
    </w:tbl>
    <w:p w14:paraId="14473854" w14:textId="77777777" w:rsidR="00BA3E87" w:rsidRDefault="00BA3E87">
      <w:pPr>
        <w:spacing w:after="0"/>
      </w:pPr>
    </w:p>
    <w:p w14:paraId="0B48BAF2" w14:textId="77777777" w:rsidR="00BA3E87" w:rsidRDefault="000B2BF4">
      <w:pPr>
        <w:jc w:val="both"/>
      </w:pPr>
      <w:r>
        <w:t>Obujam proizvedene dugotrajne imovine smanjen je za vrijednost imovine koju je Županija donirala institucijama unutar opće države te za vrijednost rashodovane imovine temeljem obavljenog popisa imovine i obveza Varaždinske županije u 2025. godini.</w:t>
      </w:r>
    </w:p>
    <w:p w14:paraId="003893E2" w14:textId="77777777" w:rsidR="00BA3E87" w:rsidRDefault="00BA3E87"/>
    <w:p w14:paraId="158E00E6" w14:textId="77777777" w:rsidR="00BA3E87" w:rsidRDefault="000B2BF4">
      <w:pPr>
        <w:keepNext/>
        <w:spacing w:line="240" w:lineRule="auto"/>
        <w:jc w:val="center"/>
      </w:pPr>
      <w:r>
        <w:rPr>
          <w:b/>
          <w:sz w:val="28"/>
        </w:rPr>
        <w:t>Izvještaj o obvezama</w:t>
      </w:r>
    </w:p>
    <w:p w14:paraId="03C52916" w14:textId="77777777" w:rsidR="00BA3E87" w:rsidRDefault="000B2BF4">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A3E87" w14:paraId="1382E960" w14:textId="77777777">
        <w:trPr>
          <w:cantSplit/>
        </w:trPr>
        <w:tc>
          <w:tcPr>
            <w:tcW w:w="700" w:type="dxa"/>
            <w:shd w:val="clear" w:color="auto" w:fill="E7F0F9"/>
            <w:tcMar>
              <w:top w:w="0" w:type="dxa"/>
              <w:bottom w:w="0" w:type="dxa"/>
            </w:tcMar>
            <w:vAlign w:val="center"/>
          </w:tcPr>
          <w:p w14:paraId="3DC5F54F"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60AC32"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BAFE0B"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B0937B" w14:textId="77777777" w:rsidR="00BA3E87" w:rsidRDefault="000B2BF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616CB52" w14:textId="77777777" w:rsidR="00BA3E87" w:rsidRDefault="000B2BF4">
            <w:pPr>
              <w:keepNext/>
              <w:keepLines/>
              <w:spacing w:after="0" w:line="240" w:lineRule="auto"/>
              <w:jc w:val="center"/>
            </w:pPr>
            <w:r>
              <w:rPr>
                <w:b/>
                <w:sz w:val="18"/>
              </w:rPr>
              <w:t>Indeks (%)</w:t>
            </w:r>
          </w:p>
        </w:tc>
      </w:tr>
      <w:tr w:rsidR="00BA3E87" w14:paraId="3AB167BE" w14:textId="77777777">
        <w:trPr>
          <w:cantSplit/>
          <w:trHeight w:val="560"/>
        </w:trPr>
        <w:tc>
          <w:tcPr>
            <w:tcW w:w="700" w:type="dxa"/>
            <w:tcMar>
              <w:top w:w="0" w:type="dxa"/>
              <w:bottom w:w="0" w:type="dxa"/>
            </w:tcMar>
            <w:vAlign w:val="center"/>
          </w:tcPr>
          <w:p w14:paraId="203FC086" w14:textId="77777777" w:rsidR="00BA3E87" w:rsidRDefault="00BA3E87">
            <w:pPr>
              <w:keepNext/>
              <w:keepLines/>
              <w:spacing w:after="0" w:line="240" w:lineRule="auto"/>
            </w:pPr>
          </w:p>
        </w:tc>
        <w:tc>
          <w:tcPr>
            <w:tcW w:w="3180" w:type="dxa"/>
            <w:tcMar>
              <w:top w:w="0" w:type="dxa"/>
              <w:bottom w:w="0" w:type="dxa"/>
            </w:tcMar>
            <w:vAlign w:val="center"/>
          </w:tcPr>
          <w:p w14:paraId="48C99472" w14:textId="77777777" w:rsidR="00BA3E87" w:rsidRDefault="000B2BF4">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7850A2FE" w14:textId="77777777" w:rsidR="00BA3E87" w:rsidRDefault="000B2BF4">
            <w:pPr>
              <w:keepNext/>
              <w:keepLines/>
              <w:spacing w:after="0" w:line="240" w:lineRule="auto"/>
            </w:pPr>
            <w:r>
              <w:rPr>
                <w:sz w:val="18"/>
              </w:rPr>
              <w:t>V001</w:t>
            </w:r>
          </w:p>
        </w:tc>
        <w:tc>
          <w:tcPr>
            <w:tcW w:w="1860" w:type="dxa"/>
            <w:tcMar>
              <w:top w:w="0" w:type="dxa"/>
              <w:bottom w:w="0" w:type="dxa"/>
            </w:tcMar>
            <w:vAlign w:val="center"/>
          </w:tcPr>
          <w:p w14:paraId="4889D259" w14:textId="77777777" w:rsidR="00BA3E87" w:rsidRDefault="000B2BF4">
            <w:pPr>
              <w:keepNext/>
              <w:keepLines/>
              <w:spacing w:after="0" w:line="240" w:lineRule="auto"/>
              <w:jc w:val="right"/>
            </w:pPr>
            <w:r>
              <w:rPr>
                <w:sz w:val="18"/>
              </w:rPr>
              <w:t>5.186.818,58</w:t>
            </w:r>
          </w:p>
        </w:tc>
        <w:tc>
          <w:tcPr>
            <w:tcW w:w="700" w:type="dxa"/>
            <w:tcMar>
              <w:top w:w="0" w:type="dxa"/>
              <w:bottom w:w="0" w:type="dxa"/>
            </w:tcMar>
            <w:vAlign w:val="center"/>
          </w:tcPr>
          <w:p w14:paraId="6A5785B5" w14:textId="77777777" w:rsidR="00BA3E87" w:rsidRDefault="000B2BF4">
            <w:pPr>
              <w:keepNext/>
              <w:keepLines/>
              <w:spacing w:after="0" w:line="240" w:lineRule="auto"/>
              <w:jc w:val="right"/>
            </w:pPr>
            <w:r>
              <w:rPr>
                <w:sz w:val="18"/>
              </w:rPr>
              <w:t>-</w:t>
            </w:r>
          </w:p>
        </w:tc>
      </w:tr>
    </w:tbl>
    <w:p w14:paraId="42E5A895" w14:textId="77777777" w:rsidR="00BA3E87" w:rsidRDefault="00BA3E87">
      <w:pPr>
        <w:spacing w:after="0"/>
      </w:pPr>
    </w:p>
    <w:p w14:paraId="7F813DAF" w14:textId="77777777" w:rsidR="00BA3E87" w:rsidRDefault="000B2BF4">
      <w:r>
        <w:t>Stanje obveza Varaždinske županije na dan 01. siječnja 2025. godine iznosi 5.186.818,58 eura i jednako je stanju obveza na šifri V006 u Izvještaju o obvezama za 2024. godinu.</w:t>
      </w:r>
    </w:p>
    <w:p w14:paraId="1C284F73" w14:textId="77777777" w:rsidR="00BA3E87" w:rsidRDefault="00BA3E87"/>
    <w:p w14:paraId="517C9F68" w14:textId="77777777" w:rsidR="00BA3E87" w:rsidRDefault="000B2BF4">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A3E87" w14:paraId="37842ABA" w14:textId="77777777">
        <w:trPr>
          <w:cantSplit/>
        </w:trPr>
        <w:tc>
          <w:tcPr>
            <w:tcW w:w="700" w:type="dxa"/>
            <w:shd w:val="clear" w:color="auto" w:fill="E7F0F9"/>
            <w:tcMar>
              <w:top w:w="0" w:type="dxa"/>
              <w:bottom w:w="0" w:type="dxa"/>
            </w:tcMar>
            <w:vAlign w:val="center"/>
          </w:tcPr>
          <w:p w14:paraId="34FC2E33"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853710"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9E472B"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1CF4BE" w14:textId="77777777" w:rsidR="00BA3E87" w:rsidRDefault="000B2BF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EE5F8BC" w14:textId="77777777" w:rsidR="00BA3E87" w:rsidRDefault="000B2BF4">
            <w:pPr>
              <w:keepNext/>
              <w:keepLines/>
              <w:spacing w:after="0" w:line="240" w:lineRule="auto"/>
              <w:jc w:val="center"/>
            </w:pPr>
            <w:r>
              <w:rPr>
                <w:b/>
                <w:sz w:val="18"/>
              </w:rPr>
              <w:t>Indeks (%)</w:t>
            </w:r>
          </w:p>
        </w:tc>
      </w:tr>
      <w:tr w:rsidR="00BA3E87" w14:paraId="442B6AC8" w14:textId="77777777">
        <w:trPr>
          <w:cantSplit/>
          <w:trHeight w:val="560"/>
        </w:trPr>
        <w:tc>
          <w:tcPr>
            <w:tcW w:w="700" w:type="dxa"/>
            <w:tcMar>
              <w:top w:w="0" w:type="dxa"/>
              <w:bottom w:w="0" w:type="dxa"/>
            </w:tcMar>
            <w:vAlign w:val="center"/>
          </w:tcPr>
          <w:p w14:paraId="6467E0A8" w14:textId="77777777" w:rsidR="00BA3E87" w:rsidRDefault="00BA3E87">
            <w:pPr>
              <w:keepNext/>
              <w:keepLines/>
              <w:spacing w:after="0" w:line="240" w:lineRule="auto"/>
            </w:pPr>
          </w:p>
        </w:tc>
        <w:tc>
          <w:tcPr>
            <w:tcW w:w="3180" w:type="dxa"/>
            <w:tcMar>
              <w:top w:w="0" w:type="dxa"/>
              <w:bottom w:w="0" w:type="dxa"/>
            </w:tcMar>
            <w:vAlign w:val="center"/>
          </w:tcPr>
          <w:p w14:paraId="00228AFD" w14:textId="77777777" w:rsidR="00BA3E87" w:rsidRDefault="000B2BF4">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83ACC59" w14:textId="77777777" w:rsidR="00BA3E87" w:rsidRDefault="000B2BF4">
            <w:pPr>
              <w:keepNext/>
              <w:keepLines/>
              <w:spacing w:after="0" w:line="240" w:lineRule="auto"/>
            </w:pPr>
            <w:r>
              <w:rPr>
                <w:sz w:val="18"/>
              </w:rPr>
              <w:t>V007</w:t>
            </w:r>
          </w:p>
        </w:tc>
        <w:tc>
          <w:tcPr>
            <w:tcW w:w="1860" w:type="dxa"/>
            <w:tcMar>
              <w:top w:w="0" w:type="dxa"/>
              <w:bottom w:w="0" w:type="dxa"/>
            </w:tcMar>
            <w:vAlign w:val="center"/>
          </w:tcPr>
          <w:p w14:paraId="12BE5445" w14:textId="77777777" w:rsidR="00BA3E87" w:rsidRDefault="000B2BF4">
            <w:pPr>
              <w:keepNext/>
              <w:keepLines/>
              <w:spacing w:after="0" w:line="240" w:lineRule="auto"/>
              <w:jc w:val="right"/>
            </w:pPr>
            <w:r>
              <w:rPr>
                <w:sz w:val="18"/>
              </w:rPr>
              <w:t>0,00</w:t>
            </w:r>
          </w:p>
        </w:tc>
        <w:tc>
          <w:tcPr>
            <w:tcW w:w="700" w:type="dxa"/>
            <w:tcMar>
              <w:top w:w="0" w:type="dxa"/>
              <w:bottom w:w="0" w:type="dxa"/>
            </w:tcMar>
            <w:vAlign w:val="center"/>
          </w:tcPr>
          <w:p w14:paraId="2AB38614" w14:textId="77777777" w:rsidR="00BA3E87" w:rsidRDefault="000B2BF4">
            <w:pPr>
              <w:keepNext/>
              <w:keepLines/>
              <w:spacing w:after="0" w:line="240" w:lineRule="auto"/>
              <w:jc w:val="right"/>
            </w:pPr>
            <w:r>
              <w:rPr>
                <w:sz w:val="18"/>
              </w:rPr>
              <w:t>-</w:t>
            </w:r>
          </w:p>
        </w:tc>
      </w:tr>
    </w:tbl>
    <w:p w14:paraId="50AC595D" w14:textId="77777777" w:rsidR="00BA3E87" w:rsidRDefault="00BA3E87">
      <w:pPr>
        <w:spacing w:after="0"/>
      </w:pPr>
    </w:p>
    <w:p w14:paraId="7EED3566" w14:textId="77777777" w:rsidR="00BA3E87" w:rsidRDefault="000B2BF4">
      <w:r>
        <w:t>U izvještajnom razdoblju podmirene su sve dospjele obveze.</w:t>
      </w:r>
    </w:p>
    <w:p w14:paraId="6D268A7B" w14:textId="77777777" w:rsidR="00BA3E87" w:rsidRDefault="00BA3E87"/>
    <w:p w14:paraId="7A9B7768" w14:textId="77777777" w:rsidR="00BA3E87" w:rsidRDefault="000B2BF4">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A3E87" w14:paraId="0C23842D" w14:textId="77777777">
        <w:trPr>
          <w:cantSplit/>
        </w:trPr>
        <w:tc>
          <w:tcPr>
            <w:tcW w:w="700" w:type="dxa"/>
            <w:shd w:val="clear" w:color="auto" w:fill="E7F0F9"/>
            <w:tcMar>
              <w:top w:w="0" w:type="dxa"/>
              <w:bottom w:w="0" w:type="dxa"/>
            </w:tcMar>
            <w:vAlign w:val="center"/>
          </w:tcPr>
          <w:p w14:paraId="3940D22F" w14:textId="77777777" w:rsidR="00BA3E87" w:rsidRDefault="000B2BF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CC233A" w14:textId="77777777" w:rsidR="00BA3E87" w:rsidRDefault="000B2BF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702CDA" w14:textId="77777777" w:rsidR="00BA3E87" w:rsidRDefault="000B2BF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759DA8" w14:textId="77777777" w:rsidR="00BA3E87" w:rsidRDefault="000B2BF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D2E168B" w14:textId="77777777" w:rsidR="00BA3E87" w:rsidRDefault="000B2BF4">
            <w:pPr>
              <w:keepNext/>
              <w:keepLines/>
              <w:spacing w:after="0" w:line="240" w:lineRule="auto"/>
              <w:jc w:val="center"/>
            </w:pPr>
            <w:r>
              <w:rPr>
                <w:b/>
                <w:sz w:val="18"/>
              </w:rPr>
              <w:t>Indeks (%)</w:t>
            </w:r>
          </w:p>
        </w:tc>
      </w:tr>
      <w:tr w:rsidR="00BA3E87" w14:paraId="349069DB" w14:textId="77777777">
        <w:trPr>
          <w:cantSplit/>
          <w:trHeight w:val="560"/>
        </w:trPr>
        <w:tc>
          <w:tcPr>
            <w:tcW w:w="700" w:type="dxa"/>
            <w:tcMar>
              <w:top w:w="0" w:type="dxa"/>
              <w:bottom w:w="0" w:type="dxa"/>
            </w:tcMar>
            <w:vAlign w:val="center"/>
          </w:tcPr>
          <w:p w14:paraId="4992763C" w14:textId="77777777" w:rsidR="00BA3E87" w:rsidRDefault="00BA3E87">
            <w:pPr>
              <w:keepNext/>
              <w:keepLines/>
              <w:spacing w:after="0" w:line="240" w:lineRule="auto"/>
            </w:pPr>
          </w:p>
        </w:tc>
        <w:tc>
          <w:tcPr>
            <w:tcW w:w="3180" w:type="dxa"/>
            <w:tcMar>
              <w:top w:w="0" w:type="dxa"/>
              <w:bottom w:w="0" w:type="dxa"/>
            </w:tcMar>
            <w:vAlign w:val="center"/>
          </w:tcPr>
          <w:p w14:paraId="12CEA501" w14:textId="77777777" w:rsidR="00BA3E87" w:rsidRDefault="000B2BF4">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1C9CDC99" w14:textId="77777777" w:rsidR="00BA3E87" w:rsidRDefault="000B2BF4">
            <w:pPr>
              <w:keepNext/>
              <w:keepLines/>
              <w:spacing w:after="0" w:line="240" w:lineRule="auto"/>
            </w:pPr>
            <w:r>
              <w:rPr>
                <w:sz w:val="18"/>
              </w:rPr>
              <w:t>V009</w:t>
            </w:r>
          </w:p>
        </w:tc>
        <w:tc>
          <w:tcPr>
            <w:tcW w:w="1860" w:type="dxa"/>
            <w:tcMar>
              <w:top w:w="0" w:type="dxa"/>
              <w:bottom w:w="0" w:type="dxa"/>
            </w:tcMar>
            <w:vAlign w:val="center"/>
          </w:tcPr>
          <w:p w14:paraId="48C7AD20" w14:textId="77777777" w:rsidR="00BA3E87" w:rsidRDefault="000B2BF4">
            <w:pPr>
              <w:keepNext/>
              <w:keepLines/>
              <w:spacing w:after="0" w:line="240" w:lineRule="auto"/>
              <w:jc w:val="right"/>
            </w:pPr>
            <w:r>
              <w:rPr>
                <w:sz w:val="18"/>
              </w:rPr>
              <w:t>5.948.908,04</w:t>
            </w:r>
          </w:p>
        </w:tc>
        <w:tc>
          <w:tcPr>
            <w:tcW w:w="700" w:type="dxa"/>
            <w:tcMar>
              <w:top w:w="0" w:type="dxa"/>
              <w:bottom w:w="0" w:type="dxa"/>
            </w:tcMar>
            <w:vAlign w:val="center"/>
          </w:tcPr>
          <w:p w14:paraId="2F4992C5" w14:textId="77777777" w:rsidR="00BA3E87" w:rsidRDefault="000B2BF4">
            <w:pPr>
              <w:keepNext/>
              <w:keepLines/>
              <w:spacing w:after="0" w:line="240" w:lineRule="auto"/>
              <w:jc w:val="right"/>
            </w:pPr>
            <w:r>
              <w:rPr>
                <w:sz w:val="18"/>
              </w:rPr>
              <w:t>-</w:t>
            </w:r>
          </w:p>
        </w:tc>
      </w:tr>
    </w:tbl>
    <w:p w14:paraId="2339CBAE" w14:textId="77777777" w:rsidR="00BA3E87" w:rsidRDefault="00BA3E87">
      <w:pPr>
        <w:spacing w:after="0"/>
      </w:pPr>
    </w:p>
    <w:p w14:paraId="7B4792DF" w14:textId="77777777" w:rsidR="00BA3E87" w:rsidRDefault="000B2BF4">
      <w:pPr>
        <w:jc w:val="both"/>
      </w:pPr>
      <w:r>
        <w:t>Stanje nedospjelih obveza na kraju izvještajnog razdoblja (uključujući međusobne obveze subjekata općeg proračuna) odnosi se na obveze za zaposlene (440.905,06 eura), obveze za materijalne rashode (1.425.466,80 eura), obveze za financijske rashode (5.639,96 eura), obveze za subvencije (23.884,23 eura), obveze za naknade građanima i kućanstvima (474.263,23 eura), obveze za kazne, naknade šteta i kapitalne pomoći (34.513,44 eura), ostale tekuće obveze (164.539,73 eura), obveze za nabavu nefinancijske imovine (356.990,99 eura), obveze za kredite i zajmove (1.881.006,03 eura) te obveze za predujmove, depozite, jamčevne pologe i tuđe prihode (1.141.698,57 eura).</w:t>
      </w:r>
    </w:p>
    <w:p w14:paraId="03DA6BDA" w14:textId="77777777" w:rsidR="00BA3E87" w:rsidRDefault="00BA3E87"/>
    <w:p w14:paraId="6D6840F7" w14:textId="77777777" w:rsidR="00BA3E87" w:rsidRDefault="000B2BF4" w:rsidP="00CF3950">
      <w:pPr>
        <w:keepNext/>
        <w:spacing w:line="240" w:lineRule="auto"/>
        <w:jc w:val="center"/>
      </w:pPr>
      <w:r>
        <w:rPr>
          <w:sz w:val="28"/>
        </w:rPr>
        <w:t>Bilješka 47.</w:t>
      </w:r>
    </w:p>
    <w:p w14:paraId="53913B77" w14:textId="77777777" w:rsidR="00BA3E87" w:rsidRDefault="000B2BF4">
      <w:pPr>
        <w:spacing w:line="240" w:lineRule="auto"/>
        <w:jc w:val="both"/>
      </w:pPr>
      <w:r>
        <w:rPr>
          <w:b/>
        </w:rPr>
        <w:t>EU izvještaj</w:t>
      </w:r>
    </w:p>
    <w:p w14:paraId="05A32843" w14:textId="77777777" w:rsidR="00BA3E87" w:rsidRDefault="000B2BF4">
      <w:pPr>
        <w:jc w:val="both"/>
      </w:pPr>
      <w:r>
        <w:t>Na svim podacima u izvještaju odstupanja su vidljiva jer se za  izvještajno razdoblje od 01. siječnja do 31. prosinca 2025. godine ne popunjavaju podaci koji se odnose na prethodno razdoblje.</w:t>
      </w:r>
    </w:p>
    <w:p w14:paraId="4FDC9C3B" w14:textId="77777777" w:rsidR="00CF3950" w:rsidRDefault="00CF3950">
      <w:pPr>
        <w:jc w:val="both"/>
      </w:pPr>
    </w:p>
    <w:p w14:paraId="21873945" w14:textId="77777777" w:rsidR="00CF3950" w:rsidRDefault="00CF3950">
      <w:pPr>
        <w:jc w:val="both"/>
      </w:pPr>
    </w:p>
    <w:p w14:paraId="0CFAEC25" w14:textId="77777777" w:rsidR="00CF3950" w:rsidRDefault="00CF3950">
      <w:pPr>
        <w:jc w:val="both"/>
      </w:pPr>
    </w:p>
    <w:p w14:paraId="2DE75CA7" w14:textId="77777777" w:rsidR="00CF3950" w:rsidRDefault="00CF3950">
      <w:pPr>
        <w:jc w:val="both"/>
      </w:pPr>
    </w:p>
    <w:p w14:paraId="133D59D8" w14:textId="77777777" w:rsidR="00CF3950" w:rsidRDefault="00CF3950">
      <w:pPr>
        <w:jc w:val="both"/>
      </w:pPr>
    </w:p>
    <w:p w14:paraId="784F3F93" w14:textId="77777777" w:rsidR="00CF3950" w:rsidRDefault="00CF3950">
      <w:pPr>
        <w:jc w:val="both"/>
      </w:pPr>
    </w:p>
    <w:p w14:paraId="20AC049D" w14:textId="77777777" w:rsidR="00CF3950" w:rsidRDefault="00CF3950">
      <w:pPr>
        <w:jc w:val="both"/>
      </w:pPr>
    </w:p>
    <w:p w14:paraId="7E6F1524" w14:textId="77777777" w:rsidR="00CF3950" w:rsidRDefault="00CF3950">
      <w:pPr>
        <w:jc w:val="both"/>
      </w:pPr>
    </w:p>
    <w:p w14:paraId="1CBF54F4" w14:textId="77777777" w:rsidR="00CF3950" w:rsidRDefault="00CF3950">
      <w:pPr>
        <w:jc w:val="both"/>
      </w:pPr>
    </w:p>
    <w:p w14:paraId="4EA771E7" w14:textId="77777777" w:rsidR="00CF3950" w:rsidRDefault="00CF3950">
      <w:pPr>
        <w:jc w:val="both"/>
      </w:pPr>
    </w:p>
    <w:p w14:paraId="353920AF" w14:textId="77777777" w:rsidR="00CF3950" w:rsidRDefault="00CF3950">
      <w:pPr>
        <w:jc w:val="both"/>
      </w:pPr>
    </w:p>
    <w:p w14:paraId="1C0DB602" w14:textId="77777777" w:rsidR="00CF3950" w:rsidRDefault="00CF3950">
      <w:pPr>
        <w:jc w:val="both"/>
      </w:pPr>
    </w:p>
    <w:p w14:paraId="50EED486" w14:textId="77777777" w:rsidR="00CF3950" w:rsidRDefault="00CF3950">
      <w:pPr>
        <w:jc w:val="both"/>
      </w:pPr>
    </w:p>
    <w:p w14:paraId="2961B8ED" w14:textId="77777777" w:rsidR="00CF3950" w:rsidRDefault="00CF3950" w:rsidP="00CF3950">
      <w:pPr>
        <w:keepNext/>
        <w:spacing w:line="240" w:lineRule="auto"/>
        <w:jc w:val="center"/>
        <w:rPr>
          <w:sz w:val="28"/>
        </w:rPr>
      </w:pPr>
      <w:r>
        <w:rPr>
          <w:sz w:val="28"/>
        </w:rPr>
        <w:lastRenderedPageBreak/>
        <w:t>Bilješka 48.</w:t>
      </w:r>
    </w:p>
    <w:p w14:paraId="39BAC366" w14:textId="15925208" w:rsidR="00CF3950" w:rsidRPr="00CF3950" w:rsidRDefault="00CF3950" w:rsidP="00CF3950">
      <w:pPr>
        <w:keepNext/>
        <w:spacing w:line="240" w:lineRule="auto"/>
        <w:jc w:val="both"/>
        <w:rPr>
          <w:sz w:val="28"/>
        </w:rPr>
      </w:pPr>
      <w:r w:rsidRPr="00CF3950">
        <w:rPr>
          <w:b/>
          <w:bCs/>
        </w:rPr>
        <w:t>Pregled ugovornih odnosa i slično koji uz ispunjenje određenih uvjeta mogu postati obveza ili imovina</w:t>
      </w:r>
    </w:p>
    <w:p w14:paraId="000CD0E8" w14:textId="77777777" w:rsidR="00CF3950" w:rsidRDefault="00CF3950" w:rsidP="00CF3950">
      <w:pPr>
        <w:jc w:val="both"/>
      </w:pPr>
      <w:r>
        <w:t xml:space="preserve">Ugovorni odnosi i slično koji uz ispunjenje određenih uvjeta mogu postati imovina ili obveza dio su izvanbilančnih zapisa (aktiva/pasiva) na šiframa 991 i 996 unutar bilance. Izvanbilančni zapisi sadrže vrijednosne izraze poslovnih događaja koji u trenutka nastanka nemaju izravan utjecaj niti na jednu poziciju temeljnih financijskih izvještaja. </w:t>
      </w:r>
    </w:p>
    <w:p w14:paraId="5F4C589F" w14:textId="351F0142" w:rsidR="00BA3E87" w:rsidRDefault="00CF3950" w:rsidP="00CF3950">
      <w:pPr>
        <w:jc w:val="both"/>
      </w:pPr>
      <w:r>
        <w:t>Na dan 31. prosinca 2025. godine izvanbilančni zapisi Varaždinske županije iznose ukupno 104.510.065,17 eura, a obuhvaćaju slijedeće:</w:t>
      </w:r>
    </w:p>
    <w:tbl>
      <w:tblPr>
        <w:tblW w:w="9309" w:type="dxa"/>
        <w:jc w:val="center"/>
        <w:tblLook w:val="04A0" w:firstRow="1" w:lastRow="0" w:firstColumn="1" w:lastColumn="0" w:noHBand="0" w:noVBand="1"/>
      </w:tblPr>
      <w:tblGrid>
        <w:gridCol w:w="628"/>
        <w:gridCol w:w="7194"/>
        <w:gridCol w:w="1487"/>
      </w:tblGrid>
      <w:tr w:rsidR="00CF3950" w:rsidRPr="00CF3950" w14:paraId="4CC55778" w14:textId="77777777" w:rsidTr="001D7229">
        <w:trPr>
          <w:trHeight w:val="537"/>
          <w:tblHeader/>
          <w:jc w:val="center"/>
        </w:trPr>
        <w:tc>
          <w:tcPr>
            <w:tcW w:w="628"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03FA24E5" w14:textId="77777777" w:rsidR="00CF3950" w:rsidRPr="00CF3950" w:rsidRDefault="00CF3950" w:rsidP="00CF3950">
            <w:pPr>
              <w:spacing w:after="0" w:line="240" w:lineRule="auto"/>
              <w:jc w:val="center"/>
              <w:rPr>
                <w:b/>
                <w:bCs/>
                <w:sz w:val="20"/>
              </w:rPr>
            </w:pPr>
            <w:r w:rsidRPr="00CF3950">
              <w:rPr>
                <w:b/>
                <w:bCs/>
                <w:sz w:val="20"/>
              </w:rPr>
              <w:t>Red. br.</w:t>
            </w:r>
          </w:p>
        </w:tc>
        <w:tc>
          <w:tcPr>
            <w:tcW w:w="7194" w:type="dxa"/>
            <w:tcBorders>
              <w:top w:val="single" w:sz="4" w:space="0" w:color="auto"/>
              <w:left w:val="nil"/>
              <w:bottom w:val="single" w:sz="4" w:space="0" w:color="auto"/>
              <w:right w:val="single" w:sz="4" w:space="0" w:color="auto"/>
            </w:tcBorders>
            <w:shd w:val="clear" w:color="000000" w:fill="FBE2D5"/>
            <w:noWrap/>
            <w:vAlign w:val="center"/>
            <w:hideMark/>
          </w:tcPr>
          <w:p w14:paraId="2E6626D4" w14:textId="77777777" w:rsidR="00CF3950" w:rsidRPr="00CF3950" w:rsidRDefault="00CF3950" w:rsidP="00CF3950">
            <w:pPr>
              <w:spacing w:after="0" w:line="240" w:lineRule="auto"/>
              <w:jc w:val="center"/>
              <w:rPr>
                <w:b/>
                <w:bCs/>
                <w:sz w:val="20"/>
              </w:rPr>
            </w:pPr>
            <w:r w:rsidRPr="00CF3950">
              <w:rPr>
                <w:b/>
                <w:bCs/>
                <w:sz w:val="20"/>
              </w:rPr>
              <w:t>Opis</w:t>
            </w:r>
          </w:p>
        </w:tc>
        <w:tc>
          <w:tcPr>
            <w:tcW w:w="1487" w:type="dxa"/>
            <w:tcBorders>
              <w:top w:val="single" w:sz="4" w:space="0" w:color="auto"/>
              <w:left w:val="nil"/>
              <w:bottom w:val="single" w:sz="4" w:space="0" w:color="auto"/>
              <w:right w:val="single" w:sz="4" w:space="0" w:color="auto"/>
            </w:tcBorders>
            <w:shd w:val="clear" w:color="000000" w:fill="FBE2D5"/>
            <w:noWrap/>
            <w:vAlign w:val="center"/>
            <w:hideMark/>
          </w:tcPr>
          <w:p w14:paraId="1FEC715A" w14:textId="77777777" w:rsidR="00CF3950" w:rsidRPr="00CF3950" w:rsidRDefault="00CF3950" w:rsidP="00CF3950">
            <w:pPr>
              <w:spacing w:after="0" w:line="240" w:lineRule="auto"/>
              <w:jc w:val="center"/>
              <w:rPr>
                <w:b/>
                <w:bCs/>
                <w:sz w:val="20"/>
              </w:rPr>
            </w:pPr>
            <w:r w:rsidRPr="00CF3950">
              <w:rPr>
                <w:b/>
                <w:bCs/>
                <w:sz w:val="20"/>
              </w:rPr>
              <w:t>Iznos</w:t>
            </w:r>
          </w:p>
        </w:tc>
      </w:tr>
      <w:tr w:rsidR="00CF3950" w:rsidRPr="00CF3950" w14:paraId="1AFF3E37"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49B98543" w14:textId="77777777" w:rsidR="00CF3950" w:rsidRPr="00CF3950" w:rsidRDefault="00CF3950" w:rsidP="00CF3950">
            <w:pPr>
              <w:spacing w:after="0" w:line="240" w:lineRule="auto"/>
              <w:jc w:val="center"/>
              <w:rPr>
                <w:b/>
                <w:bCs/>
                <w:color w:val="000000"/>
                <w:sz w:val="20"/>
              </w:rPr>
            </w:pPr>
            <w:r w:rsidRPr="00CF3950">
              <w:rPr>
                <w:b/>
                <w:bCs/>
                <w:color w:val="000000"/>
                <w:sz w:val="20"/>
              </w:rPr>
              <w:t>1.</w:t>
            </w:r>
          </w:p>
        </w:tc>
        <w:tc>
          <w:tcPr>
            <w:tcW w:w="7194" w:type="dxa"/>
            <w:tcBorders>
              <w:top w:val="nil"/>
              <w:left w:val="nil"/>
              <w:bottom w:val="single" w:sz="4" w:space="0" w:color="auto"/>
              <w:right w:val="single" w:sz="4" w:space="0" w:color="auto"/>
            </w:tcBorders>
            <w:noWrap/>
            <w:vAlign w:val="center"/>
            <w:hideMark/>
          </w:tcPr>
          <w:p w14:paraId="6D3A400B" w14:textId="77777777" w:rsidR="00CF3950" w:rsidRPr="00CF3950" w:rsidRDefault="00CF3950" w:rsidP="00CF3950">
            <w:pPr>
              <w:spacing w:after="0" w:line="240" w:lineRule="auto"/>
              <w:rPr>
                <w:b/>
                <w:bCs/>
                <w:color w:val="000000"/>
                <w:sz w:val="20"/>
              </w:rPr>
            </w:pPr>
            <w:r w:rsidRPr="00CF3950">
              <w:rPr>
                <w:b/>
                <w:bCs/>
                <w:color w:val="000000"/>
                <w:sz w:val="20"/>
              </w:rPr>
              <w:t>Tuđa imovina dobivena na korištenje</w:t>
            </w:r>
          </w:p>
        </w:tc>
        <w:tc>
          <w:tcPr>
            <w:tcW w:w="1487" w:type="dxa"/>
            <w:tcBorders>
              <w:top w:val="nil"/>
              <w:left w:val="nil"/>
              <w:bottom w:val="single" w:sz="4" w:space="0" w:color="auto"/>
              <w:right w:val="single" w:sz="4" w:space="0" w:color="auto"/>
            </w:tcBorders>
            <w:noWrap/>
            <w:vAlign w:val="center"/>
            <w:hideMark/>
          </w:tcPr>
          <w:p w14:paraId="6EB7C4A1" w14:textId="77777777" w:rsidR="00CF3950" w:rsidRPr="00CF3950" w:rsidRDefault="00CF3950" w:rsidP="00CF3950">
            <w:pPr>
              <w:spacing w:after="0" w:line="240" w:lineRule="auto"/>
              <w:jc w:val="right"/>
              <w:rPr>
                <w:b/>
                <w:bCs/>
                <w:color w:val="000000"/>
                <w:sz w:val="20"/>
              </w:rPr>
            </w:pPr>
            <w:r w:rsidRPr="00CF3950">
              <w:rPr>
                <w:b/>
                <w:bCs/>
                <w:color w:val="000000"/>
                <w:sz w:val="20"/>
              </w:rPr>
              <w:t>2.659.870,25</w:t>
            </w:r>
          </w:p>
        </w:tc>
      </w:tr>
      <w:tr w:rsidR="00CF3950" w:rsidRPr="00CF3950" w14:paraId="2B4B97C8"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4D0282D8"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74628184" w14:textId="77777777" w:rsidR="00CF3950" w:rsidRPr="00CF3950" w:rsidRDefault="00CF3950" w:rsidP="00CF3950">
            <w:pPr>
              <w:spacing w:after="0" w:line="240" w:lineRule="auto"/>
              <w:rPr>
                <w:i/>
                <w:iCs/>
                <w:color w:val="000000"/>
                <w:sz w:val="20"/>
              </w:rPr>
            </w:pPr>
            <w:r w:rsidRPr="00CF3950">
              <w:rPr>
                <w:i/>
                <w:iCs/>
                <w:color w:val="000000"/>
                <w:sz w:val="20"/>
              </w:rPr>
              <w:t>Županijska palača - pravo građenja</w:t>
            </w:r>
          </w:p>
        </w:tc>
        <w:tc>
          <w:tcPr>
            <w:tcW w:w="1487" w:type="dxa"/>
            <w:tcBorders>
              <w:top w:val="nil"/>
              <w:left w:val="nil"/>
              <w:bottom w:val="single" w:sz="4" w:space="0" w:color="auto"/>
              <w:right w:val="single" w:sz="4" w:space="0" w:color="auto"/>
            </w:tcBorders>
            <w:noWrap/>
            <w:vAlign w:val="center"/>
            <w:hideMark/>
          </w:tcPr>
          <w:p w14:paraId="020F981F" w14:textId="77777777" w:rsidR="00CF3950" w:rsidRPr="00CF3950" w:rsidRDefault="00CF3950" w:rsidP="00CF3950">
            <w:pPr>
              <w:spacing w:after="0" w:line="240" w:lineRule="auto"/>
              <w:jc w:val="right"/>
              <w:rPr>
                <w:i/>
                <w:iCs/>
                <w:color w:val="000000"/>
                <w:sz w:val="20"/>
              </w:rPr>
            </w:pPr>
            <w:r w:rsidRPr="00CF3950">
              <w:rPr>
                <w:i/>
                <w:iCs/>
                <w:color w:val="000000"/>
                <w:sz w:val="20"/>
              </w:rPr>
              <w:t>44.311,10</w:t>
            </w:r>
          </w:p>
        </w:tc>
      </w:tr>
      <w:tr w:rsidR="00CF3950" w:rsidRPr="00CF3950" w14:paraId="3BE1951E"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0E0AA82E"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49E2B2FE" w14:textId="77777777" w:rsidR="00CF3950" w:rsidRPr="00CF3950" w:rsidRDefault="00CF3950" w:rsidP="00CF3950">
            <w:pPr>
              <w:spacing w:after="0" w:line="240" w:lineRule="auto"/>
              <w:rPr>
                <w:i/>
                <w:iCs/>
                <w:color w:val="000000"/>
                <w:sz w:val="20"/>
              </w:rPr>
            </w:pPr>
            <w:r w:rsidRPr="00CF3950">
              <w:rPr>
                <w:i/>
                <w:iCs/>
                <w:color w:val="000000"/>
                <w:sz w:val="20"/>
              </w:rPr>
              <w:t>Dio bivše vojarne-Varaždin, Optujskoj ul.</w:t>
            </w:r>
          </w:p>
        </w:tc>
        <w:tc>
          <w:tcPr>
            <w:tcW w:w="1487" w:type="dxa"/>
            <w:tcBorders>
              <w:top w:val="nil"/>
              <w:left w:val="nil"/>
              <w:bottom w:val="single" w:sz="4" w:space="0" w:color="auto"/>
              <w:right w:val="single" w:sz="4" w:space="0" w:color="auto"/>
            </w:tcBorders>
            <w:noWrap/>
            <w:vAlign w:val="center"/>
            <w:hideMark/>
          </w:tcPr>
          <w:p w14:paraId="18F9A2A7" w14:textId="77777777" w:rsidR="00CF3950" w:rsidRPr="00CF3950" w:rsidRDefault="00CF3950" w:rsidP="00CF3950">
            <w:pPr>
              <w:spacing w:after="0" w:line="240" w:lineRule="auto"/>
              <w:jc w:val="right"/>
              <w:rPr>
                <w:i/>
                <w:iCs/>
                <w:color w:val="000000"/>
                <w:sz w:val="20"/>
              </w:rPr>
            </w:pPr>
            <w:r w:rsidRPr="00CF3950">
              <w:rPr>
                <w:i/>
                <w:iCs/>
                <w:color w:val="000000"/>
                <w:sz w:val="20"/>
              </w:rPr>
              <w:t>711.394,25</w:t>
            </w:r>
          </w:p>
        </w:tc>
      </w:tr>
      <w:tr w:rsidR="00CF3950" w:rsidRPr="00CF3950" w14:paraId="2B6413B4"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58227F6E"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3E7F8F81" w14:textId="77777777" w:rsidR="00CF3950" w:rsidRPr="00CF3950" w:rsidRDefault="00CF3950" w:rsidP="00CF3950">
            <w:pPr>
              <w:spacing w:after="0" w:line="240" w:lineRule="auto"/>
              <w:rPr>
                <w:i/>
                <w:iCs/>
                <w:color w:val="000000"/>
                <w:sz w:val="20"/>
              </w:rPr>
            </w:pPr>
            <w:r w:rsidRPr="00CF3950">
              <w:rPr>
                <w:i/>
                <w:iCs/>
                <w:color w:val="000000"/>
                <w:sz w:val="20"/>
              </w:rPr>
              <w:t>Vrtlareva kuća-Arboretum Opeka</w:t>
            </w:r>
          </w:p>
        </w:tc>
        <w:tc>
          <w:tcPr>
            <w:tcW w:w="1487" w:type="dxa"/>
            <w:tcBorders>
              <w:top w:val="nil"/>
              <w:left w:val="nil"/>
              <w:bottom w:val="single" w:sz="4" w:space="0" w:color="auto"/>
              <w:right w:val="single" w:sz="4" w:space="0" w:color="auto"/>
            </w:tcBorders>
            <w:noWrap/>
            <w:vAlign w:val="center"/>
            <w:hideMark/>
          </w:tcPr>
          <w:p w14:paraId="3EB11AF6" w14:textId="77777777" w:rsidR="00CF3950" w:rsidRPr="00CF3950" w:rsidRDefault="00CF3950" w:rsidP="00CF3950">
            <w:pPr>
              <w:spacing w:after="0" w:line="240" w:lineRule="auto"/>
              <w:jc w:val="right"/>
              <w:rPr>
                <w:i/>
                <w:iCs/>
                <w:color w:val="000000"/>
                <w:sz w:val="20"/>
              </w:rPr>
            </w:pPr>
            <w:r w:rsidRPr="00CF3950">
              <w:rPr>
                <w:i/>
                <w:iCs/>
                <w:color w:val="000000"/>
                <w:sz w:val="20"/>
              </w:rPr>
              <w:t>5.625,83</w:t>
            </w:r>
          </w:p>
        </w:tc>
      </w:tr>
      <w:tr w:rsidR="00CF3950" w:rsidRPr="00CF3950" w14:paraId="247CD312"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3954AD0B"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007F51DF" w14:textId="77777777" w:rsidR="00CF3950" w:rsidRPr="00CF3950" w:rsidRDefault="00CF3950" w:rsidP="00CF3950">
            <w:pPr>
              <w:spacing w:after="0" w:line="240" w:lineRule="auto"/>
              <w:rPr>
                <w:i/>
                <w:iCs/>
                <w:color w:val="000000"/>
                <w:sz w:val="20"/>
              </w:rPr>
            </w:pPr>
            <w:r w:rsidRPr="00CF3950">
              <w:rPr>
                <w:i/>
                <w:iCs/>
                <w:color w:val="000000"/>
                <w:sz w:val="20"/>
              </w:rPr>
              <w:t>Parkovni dio- Arboretum Opeka</w:t>
            </w:r>
          </w:p>
        </w:tc>
        <w:tc>
          <w:tcPr>
            <w:tcW w:w="1487" w:type="dxa"/>
            <w:tcBorders>
              <w:top w:val="nil"/>
              <w:left w:val="nil"/>
              <w:bottom w:val="single" w:sz="4" w:space="0" w:color="auto"/>
              <w:right w:val="single" w:sz="4" w:space="0" w:color="auto"/>
            </w:tcBorders>
            <w:noWrap/>
            <w:vAlign w:val="center"/>
            <w:hideMark/>
          </w:tcPr>
          <w:p w14:paraId="2F748771" w14:textId="77777777" w:rsidR="00CF3950" w:rsidRPr="00CF3950" w:rsidRDefault="00CF3950" w:rsidP="00CF3950">
            <w:pPr>
              <w:spacing w:after="0" w:line="240" w:lineRule="auto"/>
              <w:jc w:val="right"/>
              <w:rPr>
                <w:i/>
                <w:iCs/>
                <w:color w:val="000000"/>
                <w:sz w:val="20"/>
              </w:rPr>
            </w:pPr>
            <w:r w:rsidRPr="00CF3950">
              <w:rPr>
                <w:i/>
                <w:iCs/>
                <w:color w:val="000000"/>
                <w:sz w:val="20"/>
              </w:rPr>
              <w:t>672.402,70</w:t>
            </w:r>
          </w:p>
        </w:tc>
      </w:tr>
      <w:tr w:rsidR="00CF3950" w:rsidRPr="00CF3950" w14:paraId="63556E1E"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63BA106C"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7414EE3D" w14:textId="77777777" w:rsidR="00CF3950" w:rsidRPr="00CF3950" w:rsidRDefault="00CF3950" w:rsidP="00CF3950">
            <w:pPr>
              <w:spacing w:after="0" w:line="240" w:lineRule="auto"/>
              <w:rPr>
                <w:i/>
                <w:iCs/>
                <w:color w:val="000000"/>
                <w:sz w:val="20"/>
              </w:rPr>
            </w:pPr>
            <w:r w:rsidRPr="00CF3950">
              <w:rPr>
                <w:i/>
                <w:iCs/>
                <w:color w:val="000000"/>
                <w:sz w:val="20"/>
              </w:rPr>
              <w:t>Nekretnine u vlasništvu RH-dane na upravljanje Županiji (drž.imovina)</w:t>
            </w:r>
          </w:p>
        </w:tc>
        <w:tc>
          <w:tcPr>
            <w:tcW w:w="1487" w:type="dxa"/>
            <w:tcBorders>
              <w:top w:val="nil"/>
              <w:left w:val="nil"/>
              <w:bottom w:val="single" w:sz="4" w:space="0" w:color="auto"/>
              <w:right w:val="single" w:sz="4" w:space="0" w:color="auto"/>
            </w:tcBorders>
            <w:noWrap/>
            <w:vAlign w:val="center"/>
            <w:hideMark/>
          </w:tcPr>
          <w:p w14:paraId="62048B00" w14:textId="77777777" w:rsidR="00CF3950" w:rsidRPr="00CF3950" w:rsidRDefault="00CF3950" w:rsidP="00CF3950">
            <w:pPr>
              <w:spacing w:after="0" w:line="240" w:lineRule="auto"/>
              <w:jc w:val="right"/>
              <w:rPr>
                <w:i/>
                <w:iCs/>
                <w:color w:val="000000"/>
                <w:sz w:val="20"/>
              </w:rPr>
            </w:pPr>
            <w:r w:rsidRPr="00CF3950">
              <w:rPr>
                <w:i/>
                <w:iCs/>
                <w:color w:val="000000"/>
                <w:sz w:val="20"/>
              </w:rPr>
              <w:t>639.285,00</w:t>
            </w:r>
          </w:p>
        </w:tc>
      </w:tr>
      <w:tr w:rsidR="00CF3950" w:rsidRPr="00CF3950" w14:paraId="188F4406"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5F6E5D0C"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27F481A2" w14:textId="77777777" w:rsidR="00CF3950" w:rsidRPr="00CF3950" w:rsidRDefault="00CF3950" w:rsidP="00CF3950">
            <w:pPr>
              <w:spacing w:after="0" w:line="240" w:lineRule="auto"/>
              <w:rPr>
                <w:i/>
                <w:iCs/>
                <w:color w:val="000000"/>
                <w:sz w:val="20"/>
              </w:rPr>
            </w:pPr>
            <w:r w:rsidRPr="00CF3950">
              <w:rPr>
                <w:i/>
                <w:iCs/>
                <w:color w:val="000000"/>
                <w:sz w:val="20"/>
              </w:rPr>
              <w:t>Muzejska građa-vlasništvo Gradskog muzeja Vž</w:t>
            </w:r>
          </w:p>
        </w:tc>
        <w:tc>
          <w:tcPr>
            <w:tcW w:w="1487" w:type="dxa"/>
            <w:tcBorders>
              <w:top w:val="nil"/>
              <w:left w:val="nil"/>
              <w:bottom w:val="single" w:sz="4" w:space="0" w:color="auto"/>
              <w:right w:val="single" w:sz="4" w:space="0" w:color="auto"/>
            </w:tcBorders>
            <w:noWrap/>
            <w:vAlign w:val="center"/>
            <w:hideMark/>
          </w:tcPr>
          <w:p w14:paraId="6A1DE962" w14:textId="77777777" w:rsidR="00CF3950" w:rsidRPr="00CF3950" w:rsidRDefault="00CF3950" w:rsidP="00CF3950">
            <w:pPr>
              <w:spacing w:after="0" w:line="240" w:lineRule="auto"/>
              <w:jc w:val="right"/>
              <w:rPr>
                <w:i/>
                <w:iCs/>
                <w:color w:val="000000"/>
                <w:sz w:val="20"/>
              </w:rPr>
            </w:pPr>
            <w:r w:rsidRPr="00CF3950">
              <w:rPr>
                <w:i/>
                <w:iCs/>
                <w:color w:val="000000"/>
                <w:sz w:val="20"/>
              </w:rPr>
              <w:t>120.145,00</w:t>
            </w:r>
          </w:p>
        </w:tc>
      </w:tr>
      <w:tr w:rsidR="00CF3950" w:rsidRPr="00CF3950" w14:paraId="5C7AFA39"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4B31517A"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3E0F911C" w14:textId="77777777" w:rsidR="00CF3950" w:rsidRPr="00CF3950" w:rsidRDefault="00CF3950" w:rsidP="00CF3950">
            <w:pPr>
              <w:spacing w:after="0" w:line="240" w:lineRule="auto"/>
              <w:rPr>
                <w:i/>
                <w:iCs/>
                <w:color w:val="000000"/>
                <w:sz w:val="20"/>
              </w:rPr>
            </w:pPr>
            <w:r w:rsidRPr="00CF3950">
              <w:rPr>
                <w:i/>
                <w:iCs/>
                <w:color w:val="000000"/>
                <w:sz w:val="20"/>
              </w:rPr>
              <w:t>Posl.prostorije u upravnoj zgradi u Ludbregu</w:t>
            </w:r>
          </w:p>
        </w:tc>
        <w:tc>
          <w:tcPr>
            <w:tcW w:w="1487" w:type="dxa"/>
            <w:tcBorders>
              <w:top w:val="nil"/>
              <w:left w:val="nil"/>
              <w:bottom w:val="single" w:sz="4" w:space="0" w:color="auto"/>
              <w:right w:val="single" w:sz="4" w:space="0" w:color="auto"/>
            </w:tcBorders>
            <w:noWrap/>
            <w:vAlign w:val="center"/>
            <w:hideMark/>
          </w:tcPr>
          <w:p w14:paraId="763EA633" w14:textId="77777777" w:rsidR="00CF3950" w:rsidRPr="00CF3950" w:rsidRDefault="00CF3950" w:rsidP="00CF3950">
            <w:pPr>
              <w:spacing w:after="0" w:line="240" w:lineRule="auto"/>
              <w:jc w:val="right"/>
              <w:rPr>
                <w:i/>
                <w:iCs/>
                <w:color w:val="000000"/>
                <w:sz w:val="20"/>
              </w:rPr>
            </w:pPr>
            <w:r w:rsidRPr="00CF3950">
              <w:rPr>
                <w:i/>
                <w:iCs/>
                <w:color w:val="000000"/>
                <w:sz w:val="20"/>
              </w:rPr>
              <w:t>183.411,73</w:t>
            </w:r>
          </w:p>
        </w:tc>
      </w:tr>
      <w:tr w:rsidR="00CF3950" w:rsidRPr="00CF3950" w14:paraId="6F63E735"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74DE34BF"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0B9A6DA3" w14:textId="77777777" w:rsidR="00CF3950" w:rsidRPr="00CF3950" w:rsidRDefault="00CF3950" w:rsidP="00CF3950">
            <w:pPr>
              <w:spacing w:after="0" w:line="240" w:lineRule="auto"/>
              <w:rPr>
                <w:i/>
                <w:iCs/>
                <w:color w:val="000000"/>
                <w:sz w:val="20"/>
              </w:rPr>
            </w:pPr>
            <w:r w:rsidRPr="00CF3950">
              <w:rPr>
                <w:i/>
                <w:iCs/>
                <w:color w:val="000000"/>
                <w:sz w:val="20"/>
              </w:rPr>
              <w:t>Posl.prostor kapelice Sv.Križa u dvorcu Batthyany, Ludbreg</w:t>
            </w:r>
          </w:p>
        </w:tc>
        <w:tc>
          <w:tcPr>
            <w:tcW w:w="1487" w:type="dxa"/>
            <w:tcBorders>
              <w:top w:val="nil"/>
              <w:left w:val="nil"/>
              <w:bottom w:val="single" w:sz="4" w:space="0" w:color="auto"/>
              <w:right w:val="single" w:sz="4" w:space="0" w:color="auto"/>
            </w:tcBorders>
            <w:noWrap/>
            <w:vAlign w:val="center"/>
            <w:hideMark/>
          </w:tcPr>
          <w:p w14:paraId="3E6CCF92" w14:textId="77777777" w:rsidR="00CF3950" w:rsidRPr="00CF3950" w:rsidRDefault="00CF3950" w:rsidP="00CF3950">
            <w:pPr>
              <w:spacing w:after="0" w:line="240" w:lineRule="auto"/>
              <w:jc w:val="right"/>
              <w:rPr>
                <w:i/>
                <w:iCs/>
                <w:color w:val="000000"/>
                <w:sz w:val="20"/>
              </w:rPr>
            </w:pPr>
            <w:r w:rsidRPr="00CF3950">
              <w:rPr>
                <w:i/>
                <w:iCs/>
                <w:color w:val="000000"/>
                <w:sz w:val="20"/>
              </w:rPr>
              <w:t>111.512,32</w:t>
            </w:r>
          </w:p>
        </w:tc>
      </w:tr>
      <w:tr w:rsidR="00CF3950" w:rsidRPr="00CF3950" w14:paraId="2A9A9471"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66A9CDEB"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1B4D9F58" w14:textId="77777777" w:rsidR="00CF3950" w:rsidRPr="00CF3950" w:rsidRDefault="00CF3950" w:rsidP="00CF3950">
            <w:pPr>
              <w:spacing w:after="0" w:line="240" w:lineRule="auto"/>
              <w:rPr>
                <w:i/>
                <w:iCs/>
                <w:color w:val="000000"/>
                <w:sz w:val="20"/>
              </w:rPr>
            </w:pPr>
            <w:r w:rsidRPr="00CF3950">
              <w:rPr>
                <w:i/>
                <w:iCs/>
                <w:color w:val="000000"/>
                <w:sz w:val="20"/>
              </w:rPr>
              <w:t>Posl.prostorije u upravnoj zgradi u Var.Toplicama</w:t>
            </w:r>
          </w:p>
        </w:tc>
        <w:tc>
          <w:tcPr>
            <w:tcW w:w="1487" w:type="dxa"/>
            <w:tcBorders>
              <w:top w:val="nil"/>
              <w:left w:val="nil"/>
              <w:bottom w:val="single" w:sz="4" w:space="0" w:color="auto"/>
              <w:right w:val="single" w:sz="4" w:space="0" w:color="auto"/>
            </w:tcBorders>
            <w:noWrap/>
            <w:vAlign w:val="center"/>
            <w:hideMark/>
          </w:tcPr>
          <w:p w14:paraId="0BE6A6D3" w14:textId="77777777" w:rsidR="00CF3950" w:rsidRPr="00CF3950" w:rsidRDefault="00CF3950" w:rsidP="00CF3950">
            <w:pPr>
              <w:spacing w:after="0" w:line="240" w:lineRule="auto"/>
              <w:jc w:val="right"/>
              <w:rPr>
                <w:i/>
                <w:iCs/>
                <w:color w:val="000000"/>
                <w:sz w:val="20"/>
              </w:rPr>
            </w:pPr>
            <w:r w:rsidRPr="00CF3950">
              <w:rPr>
                <w:i/>
                <w:iCs/>
                <w:color w:val="000000"/>
                <w:sz w:val="20"/>
              </w:rPr>
              <w:t>7.959,42</w:t>
            </w:r>
          </w:p>
        </w:tc>
      </w:tr>
      <w:tr w:rsidR="00CF3950" w:rsidRPr="00CF3950" w14:paraId="419B1313"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073D77D7"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5C2B1CD7" w14:textId="77777777" w:rsidR="00CF3950" w:rsidRPr="00CF3950" w:rsidRDefault="00CF3950" w:rsidP="00CF3950">
            <w:pPr>
              <w:spacing w:after="0" w:line="240" w:lineRule="auto"/>
              <w:rPr>
                <w:i/>
                <w:iCs/>
                <w:color w:val="000000"/>
                <w:sz w:val="20"/>
              </w:rPr>
            </w:pPr>
            <w:r w:rsidRPr="00CF3950">
              <w:rPr>
                <w:i/>
                <w:iCs/>
                <w:color w:val="000000"/>
                <w:sz w:val="20"/>
              </w:rPr>
              <w:t>Posl.prostorije u upravnoj zgradi u Lepoglavi</w:t>
            </w:r>
          </w:p>
        </w:tc>
        <w:tc>
          <w:tcPr>
            <w:tcW w:w="1487" w:type="dxa"/>
            <w:tcBorders>
              <w:top w:val="nil"/>
              <w:left w:val="nil"/>
              <w:bottom w:val="single" w:sz="4" w:space="0" w:color="auto"/>
              <w:right w:val="single" w:sz="4" w:space="0" w:color="auto"/>
            </w:tcBorders>
            <w:noWrap/>
            <w:vAlign w:val="center"/>
            <w:hideMark/>
          </w:tcPr>
          <w:p w14:paraId="7CFE449C" w14:textId="77777777" w:rsidR="00CF3950" w:rsidRPr="00CF3950" w:rsidRDefault="00CF3950" w:rsidP="00CF3950">
            <w:pPr>
              <w:spacing w:after="0" w:line="240" w:lineRule="auto"/>
              <w:jc w:val="right"/>
              <w:rPr>
                <w:i/>
                <w:iCs/>
                <w:color w:val="000000"/>
                <w:sz w:val="20"/>
              </w:rPr>
            </w:pPr>
            <w:r w:rsidRPr="00CF3950">
              <w:rPr>
                <w:i/>
                <w:iCs/>
                <w:color w:val="000000"/>
                <w:sz w:val="20"/>
              </w:rPr>
              <w:t>33.270,04</w:t>
            </w:r>
          </w:p>
        </w:tc>
      </w:tr>
      <w:tr w:rsidR="00CF3950" w:rsidRPr="00CF3950" w14:paraId="059458BD"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7537AA39"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738A433E" w14:textId="77777777" w:rsidR="00CF3950" w:rsidRPr="00CF3950" w:rsidRDefault="00CF3950" w:rsidP="00CF3950">
            <w:pPr>
              <w:spacing w:after="0" w:line="240" w:lineRule="auto"/>
              <w:rPr>
                <w:i/>
                <w:iCs/>
                <w:color w:val="000000"/>
                <w:sz w:val="20"/>
              </w:rPr>
            </w:pPr>
            <w:r w:rsidRPr="00CF3950">
              <w:rPr>
                <w:i/>
                <w:iCs/>
                <w:color w:val="000000"/>
                <w:sz w:val="20"/>
              </w:rPr>
              <w:t>Mala dvorana u Kulturnom centru I.Rabuzin, Novi Marof</w:t>
            </w:r>
          </w:p>
        </w:tc>
        <w:tc>
          <w:tcPr>
            <w:tcW w:w="1487" w:type="dxa"/>
            <w:tcBorders>
              <w:top w:val="nil"/>
              <w:left w:val="nil"/>
              <w:bottom w:val="single" w:sz="4" w:space="0" w:color="auto"/>
              <w:right w:val="single" w:sz="4" w:space="0" w:color="auto"/>
            </w:tcBorders>
            <w:noWrap/>
            <w:vAlign w:val="center"/>
            <w:hideMark/>
          </w:tcPr>
          <w:p w14:paraId="1A428927" w14:textId="77777777" w:rsidR="00CF3950" w:rsidRPr="00CF3950" w:rsidRDefault="00CF3950" w:rsidP="00CF3950">
            <w:pPr>
              <w:spacing w:after="0" w:line="240" w:lineRule="auto"/>
              <w:jc w:val="right"/>
              <w:rPr>
                <w:i/>
                <w:iCs/>
                <w:color w:val="000000"/>
                <w:sz w:val="20"/>
              </w:rPr>
            </w:pPr>
            <w:r w:rsidRPr="00CF3950">
              <w:rPr>
                <w:i/>
                <w:iCs/>
                <w:color w:val="000000"/>
                <w:sz w:val="20"/>
              </w:rPr>
              <w:t>67.519,82</w:t>
            </w:r>
          </w:p>
        </w:tc>
      </w:tr>
      <w:tr w:rsidR="00CF3950" w:rsidRPr="00CF3950" w14:paraId="05D76443"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271D0DA6"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20A15B9E" w14:textId="77777777" w:rsidR="00CF3950" w:rsidRPr="00CF3950" w:rsidRDefault="00CF3950" w:rsidP="00CF3950">
            <w:pPr>
              <w:spacing w:after="0" w:line="240" w:lineRule="auto"/>
              <w:rPr>
                <w:i/>
                <w:iCs/>
                <w:color w:val="000000"/>
                <w:sz w:val="20"/>
              </w:rPr>
            </w:pPr>
            <w:r w:rsidRPr="00CF3950">
              <w:rPr>
                <w:i/>
                <w:iCs/>
                <w:color w:val="000000"/>
                <w:sz w:val="20"/>
              </w:rPr>
              <w:t>Dugotrajna nefinacijska imovina nabavljena iz operativnog najma</w:t>
            </w:r>
          </w:p>
        </w:tc>
        <w:tc>
          <w:tcPr>
            <w:tcW w:w="1487" w:type="dxa"/>
            <w:tcBorders>
              <w:top w:val="nil"/>
              <w:left w:val="nil"/>
              <w:bottom w:val="single" w:sz="4" w:space="0" w:color="auto"/>
              <w:right w:val="single" w:sz="4" w:space="0" w:color="auto"/>
            </w:tcBorders>
            <w:noWrap/>
            <w:vAlign w:val="center"/>
            <w:hideMark/>
          </w:tcPr>
          <w:p w14:paraId="69448CB8" w14:textId="77777777" w:rsidR="00CF3950" w:rsidRPr="00CF3950" w:rsidRDefault="00CF3950" w:rsidP="00CF3950">
            <w:pPr>
              <w:spacing w:after="0" w:line="240" w:lineRule="auto"/>
              <w:jc w:val="right"/>
              <w:rPr>
                <w:i/>
                <w:iCs/>
                <w:color w:val="000000"/>
                <w:sz w:val="20"/>
              </w:rPr>
            </w:pPr>
            <w:r w:rsidRPr="00CF3950">
              <w:rPr>
                <w:i/>
                <w:iCs/>
                <w:color w:val="000000"/>
                <w:sz w:val="20"/>
              </w:rPr>
              <w:t>63.033,04</w:t>
            </w:r>
          </w:p>
        </w:tc>
      </w:tr>
      <w:tr w:rsidR="00CF3950" w:rsidRPr="00CF3950" w14:paraId="5FEAA65C"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332E03A8" w14:textId="77777777" w:rsidR="00CF3950" w:rsidRPr="00CF3950" w:rsidRDefault="00CF3950" w:rsidP="00CF3950">
            <w:pPr>
              <w:spacing w:after="0" w:line="240" w:lineRule="auto"/>
              <w:jc w:val="center"/>
              <w:rPr>
                <w:b/>
                <w:bCs/>
                <w:color w:val="000000"/>
                <w:sz w:val="20"/>
              </w:rPr>
            </w:pPr>
            <w:r w:rsidRPr="00CF3950">
              <w:rPr>
                <w:b/>
                <w:bCs/>
                <w:color w:val="000000"/>
                <w:sz w:val="20"/>
              </w:rPr>
              <w:t>2.</w:t>
            </w:r>
          </w:p>
        </w:tc>
        <w:tc>
          <w:tcPr>
            <w:tcW w:w="7194" w:type="dxa"/>
            <w:tcBorders>
              <w:top w:val="nil"/>
              <w:left w:val="nil"/>
              <w:bottom w:val="single" w:sz="4" w:space="0" w:color="auto"/>
              <w:right w:val="single" w:sz="4" w:space="0" w:color="auto"/>
            </w:tcBorders>
            <w:noWrap/>
            <w:vAlign w:val="center"/>
            <w:hideMark/>
          </w:tcPr>
          <w:p w14:paraId="074F090B" w14:textId="77777777" w:rsidR="00CF3950" w:rsidRPr="00CF3950" w:rsidRDefault="00CF3950" w:rsidP="00CF3950">
            <w:pPr>
              <w:spacing w:after="0" w:line="240" w:lineRule="auto"/>
              <w:rPr>
                <w:b/>
                <w:bCs/>
                <w:color w:val="000000"/>
                <w:sz w:val="20"/>
              </w:rPr>
            </w:pPr>
            <w:r w:rsidRPr="00CF3950">
              <w:rPr>
                <w:b/>
                <w:bCs/>
                <w:color w:val="000000"/>
                <w:sz w:val="20"/>
              </w:rPr>
              <w:t>Ugovori po modelu javno-privatnog partnerstva za školske objekte</w:t>
            </w:r>
          </w:p>
        </w:tc>
        <w:tc>
          <w:tcPr>
            <w:tcW w:w="1487" w:type="dxa"/>
            <w:tcBorders>
              <w:top w:val="nil"/>
              <w:left w:val="nil"/>
              <w:bottom w:val="single" w:sz="4" w:space="0" w:color="auto"/>
              <w:right w:val="single" w:sz="4" w:space="0" w:color="auto"/>
            </w:tcBorders>
            <w:noWrap/>
            <w:vAlign w:val="center"/>
            <w:hideMark/>
          </w:tcPr>
          <w:p w14:paraId="7E1AA9A2" w14:textId="77777777" w:rsidR="00CF3950" w:rsidRPr="00CF3950" w:rsidRDefault="00CF3950" w:rsidP="00CF3950">
            <w:pPr>
              <w:spacing w:after="0" w:line="240" w:lineRule="auto"/>
              <w:jc w:val="right"/>
              <w:rPr>
                <w:b/>
                <w:bCs/>
                <w:color w:val="000000"/>
                <w:sz w:val="20"/>
              </w:rPr>
            </w:pPr>
            <w:r w:rsidRPr="00CF3950">
              <w:rPr>
                <w:b/>
                <w:bCs/>
                <w:color w:val="000000"/>
                <w:sz w:val="20"/>
              </w:rPr>
              <w:t>36.997.306,85</w:t>
            </w:r>
          </w:p>
        </w:tc>
      </w:tr>
      <w:tr w:rsidR="00CF3950" w:rsidRPr="00CF3950" w14:paraId="3E70C849"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47FCF0A9" w14:textId="77777777" w:rsidR="00CF3950" w:rsidRPr="00CF3950" w:rsidRDefault="00CF3950" w:rsidP="00CF3950">
            <w:pPr>
              <w:spacing w:after="0" w:line="240" w:lineRule="auto"/>
              <w:jc w:val="center"/>
              <w:rPr>
                <w:b/>
                <w:bCs/>
                <w:color w:val="000000"/>
                <w:sz w:val="20"/>
              </w:rPr>
            </w:pPr>
            <w:r w:rsidRPr="00CF3950">
              <w:rPr>
                <w:b/>
                <w:bCs/>
                <w:color w:val="000000"/>
                <w:sz w:val="20"/>
              </w:rPr>
              <w:t>3.</w:t>
            </w:r>
          </w:p>
        </w:tc>
        <w:tc>
          <w:tcPr>
            <w:tcW w:w="7194" w:type="dxa"/>
            <w:tcBorders>
              <w:top w:val="nil"/>
              <w:left w:val="nil"/>
              <w:bottom w:val="single" w:sz="4" w:space="0" w:color="auto"/>
              <w:right w:val="single" w:sz="4" w:space="0" w:color="auto"/>
            </w:tcBorders>
            <w:noWrap/>
            <w:vAlign w:val="center"/>
            <w:hideMark/>
          </w:tcPr>
          <w:p w14:paraId="4DA96A0C" w14:textId="77777777" w:rsidR="00CF3950" w:rsidRPr="00CF3950" w:rsidRDefault="00CF3950" w:rsidP="00CF3950">
            <w:pPr>
              <w:spacing w:after="0" w:line="240" w:lineRule="auto"/>
              <w:rPr>
                <w:b/>
                <w:bCs/>
                <w:color w:val="000000"/>
                <w:sz w:val="20"/>
              </w:rPr>
            </w:pPr>
            <w:r w:rsidRPr="00CF3950">
              <w:rPr>
                <w:b/>
                <w:bCs/>
                <w:color w:val="000000"/>
                <w:sz w:val="20"/>
              </w:rPr>
              <w:t>Ostali izvanbilančni zapisi (obveze iz ranijih godina)</w:t>
            </w:r>
          </w:p>
        </w:tc>
        <w:tc>
          <w:tcPr>
            <w:tcW w:w="1487" w:type="dxa"/>
            <w:tcBorders>
              <w:top w:val="nil"/>
              <w:left w:val="nil"/>
              <w:bottom w:val="single" w:sz="4" w:space="0" w:color="auto"/>
              <w:right w:val="single" w:sz="4" w:space="0" w:color="auto"/>
            </w:tcBorders>
            <w:noWrap/>
            <w:vAlign w:val="center"/>
            <w:hideMark/>
          </w:tcPr>
          <w:p w14:paraId="7756225A" w14:textId="77777777" w:rsidR="00CF3950" w:rsidRPr="00CF3950" w:rsidRDefault="00CF3950" w:rsidP="00CF3950">
            <w:pPr>
              <w:spacing w:after="0" w:line="240" w:lineRule="auto"/>
              <w:jc w:val="right"/>
              <w:rPr>
                <w:b/>
                <w:bCs/>
                <w:color w:val="000000"/>
                <w:sz w:val="20"/>
              </w:rPr>
            </w:pPr>
            <w:r w:rsidRPr="00CF3950">
              <w:rPr>
                <w:b/>
                <w:bCs/>
                <w:color w:val="000000"/>
                <w:sz w:val="20"/>
              </w:rPr>
              <w:t>118.430,42</w:t>
            </w:r>
          </w:p>
        </w:tc>
      </w:tr>
      <w:tr w:rsidR="00CF3950" w:rsidRPr="00CF3950" w14:paraId="54263D97"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07C08073" w14:textId="77777777" w:rsidR="00CF3950" w:rsidRPr="00CF3950" w:rsidRDefault="00CF3950" w:rsidP="00CF3950">
            <w:pPr>
              <w:spacing w:after="0" w:line="240" w:lineRule="auto"/>
              <w:jc w:val="center"/>
              <w:rPr>
                <w:b/>
                <w:bCs/>
                <w:color w:val="000000"/>
                <w:sz w:val="20"/>
              </w:rPr>
            </w:pPr>
            <w:r w:rsidRPr="00CF3950">
              <w:rPr>
                <w:b/>
                <w:bCs/>
                <w:color w:val="000000"/>
                <w:sz w:val="20"/>
              </w:rPr>
              <w:t>4.</w:t>
            </w:r>
          </w:p>
        </w:tc>
        <w:tc>
          <w:tcPr>
            <w:tcW w:w="7194" w:type="dxa"/>
            <w:tcBorders>
              <w:top w:val="nil"/>
              <w:left w:val="nil"/>
              <w:bottom w:val="single" w:sz="4" w:space="0" w:color="auto"/>
              <w:right w:val="single" w:sz="4" w:space="0" w:color="auto"/>
            </w:tcBorders>
            <w:noWrap/>
            <w:vAlign w:val="center"/>
            <w:hideMark/>
          </w:tcPr>
          <w:p w14:paraId="7F0C6CC7" w14:textId="77777777" w:rsidR="00CF3950" w:rsidRPr="00CF3950" w:rsidRDefault="00CF3950" w:rsidP="00CF3950">
            <w:pPr>
              <w:spacing w:after="0" w:line="240" w:lineRule="auto"/>
              <w:rPr>
                <w:b/>
                <w:bCs/>
                <w:color w:val="000000"/>
                <w:sz w:val="20"/>
              </w:rPr>
            </w:pPr>
            <w:r w:rsidRPr="00CF3950">
              <w:rPr>
                <w:b/>
                <w:bCs/>
                <w:color w:val="000000"/>
                <w:sz w:val="20"/>
              </w:rPr>
              <w:t>Instrumenti osiguranja plaćanja</w:t>
            </w:r>
          </w:p>
        </w:tc>
        <w:tc>
          <w:tcPr>
            <w:tcW w:w="1487" w:type="dxa"/>
            <w:tcBorders>
              <w:top w:val="nil"/>
              <w:left w:val="nil"/>
              <w:bottom w:val="single" w:sz="4" w:space="0" w:color="auto"/>
              <w:right w:val="single" w:sz="4" w:space="0" w:color="auto"/>
            </w:tcBorders>
            <w:noWrap/>
            <w:vAlign w:val="center"/>
            <w:hideMark/>
          </w:tcPr>
          <w:p w14:paraId="1AB6068E" w14:textId="77777777" w:rsidR="00CF3950" w:rsidRPr="00CF3950" w:rsidRDefault="00CF3950" w:rsidP="00CF3950">
            <w:pPr>
              <w:spacing w:after="0" w:line="240" w:lineRule="auto"/>
              <w:jc w:val="right"/>
              <w:rPr>
                <w:b/>
                <w:bCs/>
                <w:color w:val="000000"/>
                <w:sz w:val="20"/>
              </w:rPr>
            </w:pPr>
            <w:r w:rsidRPr="00CF3950">
              <w:rPr>
                <w:b/>
                <w:bCs/>
                <w:color w:val="000000"/>
                <w:sz w:val="20"/>
              </w:rPr>
              <w:t>11.692.148,57</w:t>
            </w:r>
          </w:p>
        </w:tc>
      </w:tr>
      <w:tr w:rsidR="00CF3950" w:rsidRPr="00CF3950" w14:paraId="7027C7DD"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5A15B90C"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0E68F07B" w14:textId="77777777" w:rsidR="00CF3950" w:rsidRPr="00CF3950" w:rsidRDefault="00CF3950" w:rsidP="00CF3950">
            <w:pPr>
              <w:spacing w:after="0" w:line="240" w:lineRule="auto"/>
              <w:rPr>
                <w:i/>
                <w:iCs/>
                <w:color w:val="000000"/>
                <w:sz w:val="20"/>
              </w:rPr>
            </w:pPr>
            <w:r w:rsidRPr="00CF3950">
              <w:rPr>
                <w:i/>
                <w:iCs/>
                <w:color w:val="000000"/>
                <w:sz w:val="20"/>
              </w:rPr>
              <w:t>Instrumenti osiguranja plaćanja-primljene zadužnice</w:t>
            </w:r>
          </w:p>
        </w:tc>
        <w:tc>
          <w:tcPr>
            <w:tcW w:w="1487" w:type="dxa"/>
            <w:tcBorders>
              <w:top w:val="nil"/>
              <w:left w:val="nil"/>
              <w:bottom w:val="single" w:sz="4" w:space="0" w:color="auto"/>
              <w:right w:val="single" w:sz="4" w:space="0" w:color="auto"/>
            </w:tcBorders>
            <w:noWrap/>
            <w:vAlign w:val="center"/>
            <w:hideMark/>
          </w:tcPr>
          <w:p w14:paraId="6ADE6078" w14:textId="77777777" w:rsidR="00CF3950" w:rsidRPr="00CF3950" w:rsidRDefault="00CF3950" w:rsidP="00CF3950">
            <w:pPr>
              <w:spacing w:after="0" w:line="240" w:lineRule="auto"/>
              <w:jc w:val="right"/>
              <w:rPr>
                <w:i/>
                <w:iCs/>
                <w:color w:val="000000"/>
                <w:sz w:val="20"/>
              </w:rPr>
            </w:pPr>
            <w:r w:rsidRPr="00CF3950">
              <w:rPr>
                <w:i/>
                <w:iCs/>
                <w:color w:val="000000"/>
                <w:sz w:val="20"/>
              </w:rPr>
              <w:t>5.008.174,03</w:t>
            </w:r>
          </w:p>
        </w:tc>
      </w:tr>
      <w:tr w:rsidR="00CF3950" w:rsidRPr="00CF3950" w14:paraId="4840C62F"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412B5542"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36729513" w14:textId="77777777" w:rsidR="00CF3950" w:rsidRPr="00CF3950" w:rsidRDefault="00CF3950" w:rsidP="00CF3950">
            <w:pPr>
              <w:spacing w:after="0" w:line="240" w:lineRule="auto"/>
              <w:rPr>
                <w:i/>
                <w:iCs/>
                <w:color w:val="000000"/>
                <w:sz w:val="20"/>
              </w:rPr>
            </w:pPr>
            <w:r w:rsidRPr="00CF3950">
              <w:rPr>
                <w:i/>
                <w:iCs/>
                <w:color w:val="000000"/>
                <w:sz w:val="20"/>
              </w:rPr>
              <w:t>Instrumenti osiguranja plaćanja-izdane zadužnice</w:t>
            </w:r>
          </w:p>
        </w:tc>
        <w:tc>
          <w:tcPr>
            <w:tcW w:w="1487" w:type="dxa"/>
            <w:tcBorders>
              <w:top w:val="nil"/>
              <w:left w:val="nil"/>
              <w:bottom w:val="single" w:sz="4" w:space="0" w:color="auto"/>
              <w:right w:val="single" w:sz="4" w:space="0" w:color="auto"/>
            </w:tcBorders>
            <w:noWrap/>
            <w:vAlign w:val="center"/>
            <w:hideMark/>
          </w:tcPr>
          <w:p w14:paraId="64CDDA68" w14:textId="77777777" w:rsidR="00CF3950" w:rsidRPr="00CF3950" w:rsidRDefault="00CF3950" w:rsidP="00CF3950">
            <w:pPr>
              <w:spacing w:after="0" w:line="240" w:lineRule="auto"/>
              <w:jc w:val="right"/>
              <w:rPr>
                <w:i/>
                <w:iCs/>
                <w:color w:val="000000"/>
                <w:sz w:val="20"/>
              </w:rPr>
            </w:pPr>
            <w:r w:rsidRPr="00CF3950">
              <w:rPr>
                <w:i/>
                <w:iCs/>
                <w:color w:val="000000"/>
                <w:sz w:val="20"/>
              </w:rPr>
              <w:t>5.603.014,60</w:t>
            </w:r>
          </w:p>
        </w:tc>
      </w:tr>
      <w:tr w:rsidR="00CF3950" w:rsidRPr="00CF3950" w14:paraId="2C1CA673"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77FFE352"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2EC0B05C" w14:textId="77777777" w:rsidR="00CF3950" w:rsidRPr="00CF3950" w:rsidRDefault="00CF3950" w:rsidP="00CF3950">
            <w:pPr>
              <w:spacing w:after="0" w:line="240" w:lineRule="auto"/>
              <w:rPr>
                <w:i/>
                <w:iCs/>
                <w:color w:val="000000"/>
                <w:sz w:val="20"/>
              </w:rPr>
            </w:pPr>
            <w:r w:rsidRPr="00CF3950">
              <w:rPr>
                <w:i/>
                <w:iCs/>
                <w:color w:val="000000"/>
                <w:sz w:val="20"/>
              </w:rPr>
              <w:t>Instrumenti osiguranja plaćanja-primljene mjenice</w:t>
            </w:r>
          </w:p>
        </w:tc>
        <w:tc>
          <w:tcPr>
            <w:tcW w:w="1487" w:type="dxa"/>
            <w:tcBorders>
              <w:top w:val="nil"/>
              <w:left w:val="nil"/>
              <w:bottom w:val="single" w:sz="4" w:space="0" w:color="auto"/>
              <w:right w:val="single" w:sz="4" w:space="0" w:color="auto"/>
            </w:tcBorders>
            <w:noWrap/>
            <w:vAlign w:val="center"/>
            <w:hideMark/>
          </w:tcPr>
          <w:p w14:paraId="313A7EBB" w14:textId="77777777" w:rsidR="00CF3950" w:rsidRPr="00CF3950" w:rsidRDefault="00CF3950" w:rsidP="00CF3950">
            <w:pPr>
              <w:spacing w:after="0" w:line="240" w:lineRule="auto"/>
              <w:jc w:val="right"/>
              <w:rPr>
                <w:i/>
                <w:iCs/>
                <w:color w:val="000000"/>
                <w:sz w:val="20"/>
              </w:rPr>
            </w:pPr>
            <w:r w:rsidRPr="00CF3950">
              <w:rPr>
                <w:i/>
                <w:iCs/>
                <w:color w:val="000000"/>
                <w:sz w:val="20"/>
              </w:rPr>
              <w:t>55.051,56</w:t>
            </w:r>
          </w:p>
        </w:tc>
      </w:tr>
      <w:tr w:rsidR="00CF3950" w:rsidRPr="00CF3950" w14:paraId="11D1E1AC"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622A4D70" w14:textId="77777777" w:rsidR="00CF3950" w:rsidRPr="00CF3950" w:rsidRDefault="00CF3950" w:rsidP="00CF3950">
            <w:pPr>
              <w:spacing w:after="0" w:line="240" w:lineRule="auto"/>
              <w:jc w:val="center"/>
              <w:rPr>
                <w:color w:val="000000"/>
                <w:sz w:val="20"/>
              </w:rPr>
            </w:pPr>
            <w:r w:rsidRPr="00CF3950">
              <w:rPr>
                <w:color w:val="000000"/>
                <w:sz w:val="20"/>
              </w:rPr>
              <w:t> </w:t>
            </w:r>
          </w:p>
        </w:tc>
        <w:tc>
          <w:tcPr>
            <w:tcW w:w="7194" w:type="dxa"/>
            <w:tcBorders>
              <w:top w:val="nil"/>
              <w:left w:val="nil"/>
              <w:bottom w:val="single" w:sz="4" w:space="0" w:color="auto"/>
              <w:right w:val="single" w:sz="4" w:space="0" w:color="auto"/>
            </w:tcBorders>
            <w:noWrap/>
            <w:vAlign w:val="center"/>
            <w:hideMark/>
          </w:tcPr>
          <w:p w14:paraId="0BE99C5B" w14:textId="77777777" w:rsidR="00CF3950" w:rsidRPr="00CF3950" w:rsidRDefault="00CF3950" w:rsidP="00CF3950">
            <w:pPr>
              <w:spacing w:after="0" w:line="240" w:lineRule="auto"/>
              <w:rPr>
                <w:i/>
                <w:iCs/>
                <w:color w:val="000000"/>
                <w:sz w:val="20"/>
              </w:rPr>
            </w:pPr>
            <w:r w:rsidRPr="00CF3950">
              <w:rPr>
                <w:i/>
                <w:iCs/>
                <w:color w:val="000000"/>
                <w:sz w:val="20"/>
              </w:rPr>
              <w:t>Instrumenti osiguranja plaćanja-primljene garancije</w:t>
            </w:r>
          </w:p>
        </w:tc>
        <w:tc>
          <w:tcPr>
            <w:tcW w:w="1487" w:type="dxa"/>
            <w:tcBorders>
              <w:top w:val="nil"/>
              <w:left w:val="nil"/>
              <w:bottom w:val="single" w:sz="4" w:space="0" w:color="auto"/>
              <w:right w:val="single" w:sz="4" w:space="0" w:color="auto"/>
            </w:tcBorders>
            <w:noWrap/>
            <w:vAlign w:val="center"/>
            <w:hideMark/>
          </w:tcPr>
          <w:p w14:paraId="1C1FFA4B" w14:textId="77777777" w:rsidR="00CF3950" w:rsidRPr="00CF3950" w:rsidRDefault="00CF3950" w:rsidP="00CF3950">
            <w:pPr>
              <w:spacing w:after="0" w:line="240" w:lineRule="auto"/>
              <w:jc w:val="right"/>
              <w:rPr>
                <w:i/>
                <w:iCs/>
                <w:color w:val="000000"/>
                <w:sz w:val="20"/>
              </w:rPr>
            </w:pPr>
            <w:r w:rsidRPr="00CF3950">
              <w:rPr>
                <w:i/>
                <w:iCs/>
                <w:color w:val="000000"/>
                <w:sz w:val="20"/>
              </w:rPr>
              <w:t>1.025.908,38</w:t>
            </w:r>
          </w:p>
        </w:tc>
      </w:tr>
      <w:tr w:rsidR="00CF3950" w:rsidRPr="00CF3950" w14:paraId="4F082A34"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3BCB2F78" w14:textId="77777777" w:rsidR="00CF3950" w:rsidRPr="00CF3950" w:rsidRDefault="00CF3950" w:rsidP="00CF3950">
            <w:pPr>
              <w:spacing w:after="0" w:line="240" w:lineRule="auto"/>
              <w:jc w:val="center"/>
              <w:rPr>
                <w:b/>
                <w:bCs/>
                <w:color w:val="000000"/>
                <w:sz w:val="20"/>
              </w:rPr>
            </w:pPr>
            <w:r w:rsidRPr="00CF3950">
              <w:rPr>
                <w:b/>
                <w:bCs/>
                <w:color w:val="000000"/>
                <w:sz w:val="20"/>
              </w:rPr>
              <w:t>5.</w:t>
            </w:r>
          </w:p>
        </w:tc>
        <w:tc>
          <w:tcPr>
            <w:tcW w:w="7194" w:type="dxa"/>
            <w:tcBorders>
              <w:top w:val="nil"/>
              <w:left w:val="nil"/>
              <w:bottom w:val="single" w:sz="4" w:space="0" w:color="auto"/>
              <w:right w:val="single" w:sz="4" w:space="0" w:color="auto"/>
            </w:tcBorders>
            <w:noWrap/>
            <w:vAlign w:val="center"/>
            <w:hideMark/>
          </w:tcPr>
          <w:p w14:paraId="7CE8D9F8" w14:textId="77777777" w:rsidR="00CF3950" w:rsidRPr="00CF3950" w:rsidRDefault="00CF3950" w:rsidP="00CF3950">
            <w:pPr>
              <w:spacing w:after="0" w:line="240" w:lineRule="auto"/>
              <w:rPr>
                <w:b/>
                <w:bCs/>
                <w:color w:val="000000"/>
                <w:sz w:val="20"/>
              </w:rPr>
            </w:pPr>
            <w:r w:rsidRPr="00CF3950">
              <w:rPr>
                <w:b/>
                <w:bCs/>
                <w:color w:val="000000"/>
                <w:sz w:val="20"/>
              </w:rPr>
              <w:t>Dane suglasnosti i jamstva</w:t>
            </w:r>
          </w:p>
        </w:tc>
        <w:tc>
          <w:tcPr>
            <w:tcW w:w="1487" w:type="dxa"/>
            <w:tcBorders>
              <w:top w:val="nil"/>
              <w:left w:val="nil"/>
              <w:bottom w:val="single" w:sz="4" w:space="0" w:color="auto"/>
              <w:right w:val="single" w:sz="4" w:space="0" w:color="auto"/>
            </w:tcBorders>
            <w:noWrap/>
            <w:vAlign w:val="center"/>
            <w:hideMark/>
          </w:tcPr>
          <w:p w14:paraId="0BFEF4F6" w14:textId="77777777" w:rsidR="00CF3950" w:rsidRPr="00CF3950" w:rsidRDefault="00CF3950" w:rsidP="00CF3950">
            <w:pPr>
              <w:spacing w:after="0" w:line="240" w:lineRule="auto"/>
              <w:jc w:val="right"/>
              <w:rPr>
                <w:b/>
                <w:bCs/>
                <w:color w:val="000000"/>
                <w:sz w:val="20"/>
              </w:rPr>
            </w:pPr>
            <w:r w:rsidRPr="00CF3950">
              <w:rPr>
                <w:b/>
                <w:bCs/>
                <w:color w:val="000000"/>
                <w:sz w:val="20"/>
              </w:rPr>
              <w:t>20.058.850,81</w:t>
            </w:r>
          </w:p>
        </w:tc>
      </w:tr>
      <w:tr w:rsidR="00CF3950" w:rsidRPr="00CF3950" w14:paraId="0D12E4CC"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0747E682" w14:textId="77777777" w:rsidR="00CF3950" w:rsidRPr="00CF3950" w:rsidRDefault="00CF3950" w:rsidP="00CF3950">
            <w:pPr>
              <w:spacing w:after="0" w:line="240" w:lineRule="auto"/>
              <w:jc w:val="center"/>
              <w:rPr>
                <w:b/>
                <w:bCs/>
                <w:color w:val="000000"/>
                <w:sz w:val="20"/>
              </w:rPr>
            </w:pPr>
            <w:r w:rsidRPr="00CF3950">
              <w:rPr>
                <w:b/>
                <w:bCs/>
                <w:color w:val="000000"/>
                <w:sz w:val="20"/>
              </w:rPr>
              <w:t>6.</w:t>
            </w:r>
          </w:p>
        </w:tc>
        <w:tc>
          <w:tcPr>
            <w:tcW w:w="7194" w:type="dxa"/>
            <w:tcBorders>
              <w:top w:val="nil"/>
              <w:left w:val="nil"/>
              <w:bottom w:val="single" w:sz="4" w:space="0" w:color="auto"/>
              <w:right w:val="single" w:sz="4" w:space="0" w:color="auto"/>
            </w:tcBorders>
            <w:vAlign w:val="center"/>
            <w:hideMark/>
          </w:tcPr>
          <w:p w14:paraId="6C62C5FE" w14:textId="77777777" w:rsidR="00CF3950" w:rsidRPr="00CF3950" w:rsidRDefault="00CF3950" w:rsidP="00CF3950">
            <w:pPr>
              <w:spacing w:after="0" w:line="240" w:lineRule="auto"/>
              <w:rPr>
                <w:b/>
                <w:bCs/>
                <w:color w:val="000000"/>
                <w:sz w:val="20"/>
              </w:rPr>
            </w:pPr>
            <w:r w:rsidRPr="00CF3950">
              <w:rPr>
                <w:b/>
                <w:bCs/>
                <w:color w:val="000000"/>
                <w:sz w:val="20"/>
              </w:rPr>
              <w:t>Pregled sudskih sporova (potencijalne obveze po osnovi sporova)</w:t>
            </w:r>
          </w:p>
        </w:tc>
        <w:tc>
          <w:tcPr>
            <w:tcW w:w="1487" w:type="dxa"/>
            <w:tcBorders>
              <w:top w:val="nil"/>
              <w:left w:val="nil"/>
              <w:bottom w:val="single" w:sz="4" w:space="0" w:color="auto"/>
              <w:right w:val="single" w:sz="4" w:space="0" w:color="auto"/>
            </w:tcBorders>
            <w:noWrap/>
            <w:vAlign w:val="center"/>
            <w:hideMark/>
          </w:tcPr>
          <w:p w14:paraId="24528707" w14:textId="77777777" w:rsidR="00CF3950" w:rsidRPr="00CF3950" w:rsidRDefault="00CF3950" w:rsidP="00CF3950">
            <w:pPr>
              <w:spacing w:after="0" w:line="240" w:lineRule="auto"/>
              <w:jc w:val="right"/>
              <w:rPr>
                <w:b/>
                <w:bCs/>
                <w:color w:val="000000"/>
                <w:sz w:val="20"/>
              </w:rPr>
            </w:pPr>
            <w:r w:rsidRPr="00CF3950">
              <w:rPr>
                <w:b/>
                <w:bCs/>
                <w:color w:val="000000"/>
                <w:sz w:val="20"/>
              </w:rPr>
              <w:t>38.890,78</w:t>
            </w:r>
          </w:p>
        </w:tc>
      </w:tr>
      <w:tr w:rsidR="00CF3950" w:rsidRPr="00CF3950" w14:paraId="1F9C77B7"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28E02400" w14:textId="77777777" w:rsidR="00CF3950" w:rsidRPr="00CF3950" w:rsidRDefault="00CF3950" w:rsidP="00CF3950">
            <w:pPr>
              <w:spacing w:after="0" w:line="240" w:lineRule="auto"/>
              <w:jc w:val="center"/>
              <w:rPr>
                <w:b/>
                <w:bCs/>
                <w:color w:val="000000"/>
                <w:sz w:val="20"/>
              </w:rPr>
            </w:pPr>
            <w:r w:rsidRPr="00CF3950">
              <w:rPr>
                <w:b/>
                <w:bCs/>
                <w:color w:val="000000"/>
                <w:sz w:val="20"/>
              </w:rPr>
              <w:t>7.</w:t>
            </w:r>
          </w:p>
        </w:tc>
        <w:tc>
          <w:tcPr>
            <w:tcW w:w="7194" w:type="dxa"/>
            <w:tcBorders>
              <w:top w:val="nil"/>
              <w:left w:val="nil"/>
              <w:bottom w:val="single" w:sz="4" w:space="0" w:color="auto"/>
              <w:right w:val="single" w:sz="4" w:space="0" w:color="auto"/>
            </w:tcBorders>
            <w:noWrap/>
            <w:vAlign w:val="center"/>
            <w:hideMark/>
          </w:tcPr>
          <w:p w14:paraId="39D1EF30" w14:textId="77777777" w:rsidR="00CF3950" w:rsidRPr="00CF3950" w:rsidRDefault="00CF3950" w:rsidP="00CF3950">
            <w:pPr>
              <w:spacing w:after="0" w:line="240" w:lineRule="auto"/>
              <w:rPr>
                <w:b/>
                <w:bCs/>
                <w:color w:val="000000"/>
                <w:sz w:val="20"/>
              </w:rPr>
            </w:pPr>
            <w:r w:rsidRPr="00CF3950">
              <w:rPr>
                <w:b/>
                <w:bCs/>
                <w:color w:val="000000"/>
                <w:sz w:val="20"/>
              </w:rPr>
              <w:t>Preuzete obveze po ugovorima o nabavi roba, radova i usluga</w:t>
            </w:r>
          </w:p>
        </w:tc>
        <w:tc>
          <w:tcPr>
            <w:tcW w:w="1487" w:type="dxa"/>
            <w:tcBorders>
              <w:top w:val="nil"/>
              <w:left w:val="nil"/>
              <w:bottom w:val="single" w:sz="4" w:space="0" w:color="auto"/>
              <w:right w:val="single" w:sz="4" w:space="0" w:color="auto"/>
            </w:tcBorders>
            <w:noWrap/>
            <w:vAlign w:val="center"/>
            <w:hideMark/>
          </w:tcPr>
          <w:p w14:paraId="45D1E073" w14:textId="77777777" w:rsidR="00CF3950" w:rsidRPr="00CF3950" w:rsidRDefault="00CF3950" w:rsidP="00CF3950">
            <w:pPr>
              <w:spacing w:after="0" w:line="240" w:lineRule="auto"/>
              <w:jc w:val="right"/>
              <w:rPr>
                <w:b/>
                <w:bCs/>
                <w:color w:val="000000"/>
                <w:sz w:val="20"/>
              </w:rPr>
            </w:pPr>
            <w:r w:rsidRPr="00CF3950">
              <w:rPr>
                <w:b/>
                <w:bCs/>
                <w:color w:val="000000"/>
                <w:sz w:val="20"/>
              </w:rPr>
              <w:t>8.222.584,68</w:t>
            </w:r>
          </w:p>
        </w:tc>
      </w:tr>
      <w:tr w:rsidR="00CF3950" w:rsidRPr="00CF3950" w14:paraId="6EBA7505" w14:textId="77777777" w:rsidTr="001D7229">
        <w:trPr>
          <w:trHeight w:val="268"/>
          <w:jc w:val="center"/>
        </w:trPr>
        <w:tc>
          <w:tcPr>
            <w:tcW w:w="628" w:type="dxa"/>
            <w:tcBorders>
              <w:top w:val="nil"/>
              <w:left w:val="single" w:sz="4" w:space="0" w:color="auto"/>
              <w:bottom w:val="single" w:sz="4" w:space="0" w:color="auto"/>
              <w:right w:val="single" w:sz="4" w:space="0" w:color="auto"/>
            </w:tcBorders>
            <w:vAlign w:val="center"/>
            <w:hideMark/>
          </w:tcPr>
          <w:p w14:paraId="50A97C73" w14:textId="77777777" w:rsidR="00CF3950" w:rsidRPr="00CF3950" w:rsidRDefault="00CF3950" w:rsidP="00CF3950">
            <w:pPr>
              <w:spacing w:after="0" w:line="240" w:lineRule="auto"/>
              <w:jc w:val="center"/>
              <w:rPr>
                <w:b/>
                <w:bCs/>
                <w:color w:val="000000"/>
                <w:sz w:val="20"/>
              </w:rPr>
            </w:pPr>
            <w:r w:rsidRPr="00CF3950">
              <w:rPr>
                <w:b/>
                <w:bCs/>
                <w:color w:val="000000"/>
                <w:sz w:val="20"/>
              </w:rPr>
              <w:t>8.</w:t>
            </w:r>
          </w:p>
        </w:tc>
        <w:tc>
          <w:tcPr>
            <w:tcW w:w="7194" w:type="dxa"/>
            <w:tcBorders>
              <w:top w:val="nil"/>
              <w:left w:val="nil"/>
              <w:bottom w:val="single" w:sz="4" w:space="0" w:color="auto"/>
              <w:right w:val="single" w:sz="4" w:space="0" w:color="auto"/>
            </w:tcBorders>
            <w:noWrap/>
            <w:vAlign w:val="center"/>
            <w:hideMark/>
          </w:tcPr>
          <w:p w14:paraId="111820DF" w14:textId="77777777" w:rsidR="00CF3950" w:rsidRPr="00CF3950" w:rsidRDefault="00CF3950" w:rsidP="00CF3950">
            <w:pPr>
              <w:spacing w:after="0" w:line="240" w:lineRule="auto"/>
              <w:rPr>
                <w:b/>
                <w:bCs/>
                <w:color w:val="000000"/>
                <w:sz w:val="20"/>
              </w:rPr>
            </w:pPr>
            <w:r w:rsidRPr="00CF3950">
              <w:rPr>
                <w:b/>
                <w:bCs/>
                <w:color w:val="000000"/>
                <w:sz w:val="20"/>
              </w:rPr>
              <w:t>Potraživanja po ugovorima o dodijeljenim bespovratnim sredstvima iz EU fondova</w:t>
            </w:r>
          </w:p>
        </w:tc>
        <w:tc>
          <w:tcPr>
            <w:tcW w:w="1487" w:type="dxa"/>
            <w:tcBorders>
              <w:top w:val="nil"/>
              <w:left w:val="nil"/>
              <w:bottom w:val="single" w:sz="4" w:space="0" w:color="auto"/>
              <w:right w:val="single" w:sz="4" w:space="0" w:color="auto"/>
            </w:tcBorders>
            <w:noWrap/>
            <w:vAlign w:val="center"/>
            <w:hideMark/>
          </w:tcPr>
          <w:p w14:paraId="65B1BD5D" w14:textId="77777777" w:rsidR="00CF3950" w:rsidRPr="00CF3950" w:rsidRDefault="00CF3950" w:rsidP="00CF3950">
            <w:pPr>
              <w:spacing w:after="0" w:line="240" w:lineRule="auto"/>
              <w:jc w:val="right"/>
              <w:rPr>
                <w:b/>
                <w:bCs/>
                <w:color w:val="000000"/>
                <w:sz w:val="20"/>
              </w:rPr>
            </w:pPr>
            <w:r w:rsidRPr="00CF3950">
              <w:rPr>
                <w:b/>
                <w:bCs/>
                <w:color w:val="000000"/>
                <w:sz w:val="20"/>
              </w:rPr>
              <w:t>24.721.982,81</w:t>
            </w:r>
          </w:p>
        </w:tc>
      </w:tr>
      <w:tr w:rsidR="00CF3950" w:rsidRPr="00CF3950" w14:paraId="0CCE3EF6" w14:textId="77777777" w:rsidTr="001D7229">
        <w:trPr>
          <w:trHeight w:val="268"/>
          <w:jc w:val="center"/>
        </w:trPr>
        <w:tc>
          <w:tcPr>
            <w:tcW w:w="7822" w:type="dxa"/>
            <w:gridSpan w:val="2"/>
            <w:tcBorders>
              <w:top w:val="single" w:sz="4" w:space="0" w:color="auto"/>
              <w:left w:val="single" w:sz="4" w:space="0" w:color="auto"/>
              <w:bottom w:val="single" w:sz="4" w:space="0" w:color="auto"/>
              <w:right w:val="single" w:sz="4" w:space="0" w:color="000000"/>
            </w:tcBorders>
            <w:shd w:val="clear" w:color="000000" w:fill="FBE2D5"/>
            <w:vAlign w:val="center"/>
            <w:hideMark/>
          </w:tcPr>
          <w:p w14:paraId="022831AA" w14:textId="77777777" w:rsidR="00CF3950" w:rsidRPr="00CF3950" w:rsidRDefault="00CF3950" w:rsidP="00CF3950">
            <w:pPr>
              <w:spacing w:after="0" w:line="240" w:lineRule="auto"/>
              <w:jc w:val="center"/>
              <w:rPr>
                <w:b/>
                <w:bCs/>
                <w:sz w:val="20"/>
              </w:rPr>
            </w:pPr>
            <w:r w:rsidRPr="00CF3950">
              <w:rPr>
                <w:b/>
                <w:bCs/>
                <w:sz w:val="20"/>
              </w:rPr>
              <w:t>Ukupno (1.+2.+3.+4.+5.+6.+7.+8.)</w:t>
            </w:r>
          </w:p>
        </w:tc>
        <w:tc>
          <w:tcPr>
            <w:tcW w:w="1487" w:type="dxa"/>
            <w:tcBorders>
              <w:top w:val="nil"/>
              <w:left w:val="nil"/>
              <w:bottom w:val="single" w:sz="4" w:space="0" w:color="auto"/>
              <w:right w:val="single" w:sz="4" w:space="0" w:color="auto"/>
            </w:tcBorders>
            <w:shd w:val="clear" w:color="000000" w:fill="FBE2D5"/>
            <w:noWrap/>
            <w:vAlign w:val="center"/>
            <w:hideMark/>
          </w:tcPr>
          <w:p w14:paraId="5B05E926" w14:textId="77777777" w:rsidR="00CF3950" w:rsidRPr="00CF3950" w:rsidRDefault="00CF3950" w:rsidP="00CF3950">
            <w:pPr>
              <w:spacing w:after="0" w:line="240" w:lineRule="auto"/>
              <w:jc w:val="right"/>
              <w:rPr>
                <w:b/>
                <w:bCs/>
                <w:sz w:val="20"/>
              </w:rPr>
            </w:pPr>
            <w:r w:rsidRPr="00CF3950">
              <w:rPr>
                <w:b/>
                <w:bCs/>
                <w:sz w:val="20"/>
              </w:rPr>
              <w:t>104.510.065,17</w:t>
            </w:r>
          </w:p>
        </w:tc>
      </w:tr>
    </w:tbl>
    <w:p w14:paraId="53EFF5D0" w14:textId="77777777" w:rsidR="00CF3950" w:rsidRDefault="00CF3950" w:rsidP="00CF3950">
      <w:pPr>
        <w:jc w:val="both"/>
      </w:pPr>
    </w:p>
    <w:p w14:paraId="5E260352" w14:textId="7AA6BA00" w:rsidR="00CF3950" w:rsidRDefault="00CF3950" w:rsidP="00CF3950">
      <w:pPr>
        <w:jc w:val="both"/>
      </w:pPr>
    </w:p>
    <w:p w14:paraId="693A9400" w14:textId="77777777" w:rsidR="00CF3950" w:rsidRDefault="00CF3950">
      <w:r>
        <w:br w:type="page"/>
      </w:r>
    </w:p>
    <w:p w14:paraId="46097D63" w14:textId="77777777" w:rsidR="00CF3950" w:rsidRDefault="00CF3950" w:rsidP="00CF3950">
      <w:pPr>
        <w:jc w:val="both"/>
        <w:sectPr w:rsidR="00CF3950" w:rsidSect="006976E8">
          <w:pgSz w:w="11906" w:h="16838"/>
          <w:pgMar w:top="1417" w:right="1417" w:bottom="1417" w:left="1417" w:header="708" w:footer="708" w:gutter="0"/>
          <w:cols w:space="708"/>
          <w:docGrid w:linePitch="360"/>
        </w:sectPr>
      </w:pPr>
    </w:p>
    <w:p w14:paraId="13FFE822" w14:textId="77777777" w:rsidR="00CF3950" w:rsidRDefault="00CF3950" w:rsidP="00CF3950">
      <w:pPr>
        <w:spacing w:after="0" w:line="240" w:lineRule="auto"/>
        <w:jc w:val="both"/>
        <w:rPr>
          <w:b/>
        </w:rPr>
      </w:pPr>
      <w:r w:rsidRPr="00CF3950">
        <w:rPr>
          <w:b/>
        </w:rPr>
        <w:lastRenderedPageBreak/>
        <w:t xml:space="preserve">Pregled danih suglasnosti za zaduživanje </w:t>
      </w:r>
    </w:p>
    <w:tbl>
      <w:tblPr>
        <w:tblW w:w="14621" w:type="dxa"/>
        <w:jc w:val="center"/>
        <w:tblLook w:val="04A0" w:firstRow="1" w:lastRow="0" w:firstColumn="1" w:lastColumn="0" w:noHBand="0" w:noVBand="1"/>
      </w:tblPr>
      <w:tblGrid>
        <w:gridCol w:w="611"/>
        <w:gridCol w:w="4006"/>
        <w:gridCol w:w="1051"/>
        <w:gridCol w:w="1151"/>
        <w:gridCol w:w="1367"/>
        <w:gridCol w:w="1167"/>
        <w:gridCol w:w="1366"/>
        <w:gridCol w:w="1267"/>
        <w:gridCol w:w="1267"/>
        <w:gridCol w:w="1368"/>
      </w:tblGrid>
      <w:tr w:rsidR="00CF3950" w:rsidRPr="00CF3950" w14:paraId="3409F2A8" w14:textId="77777777" w:rsidTr="009A6EBA">
        <w:trPr>
          <w:trHeight w:val="240"/>
          <w:jc w:val="center"/>
        </w:trPr>
        <w:tc>
          <w:tcPr>
            <w:tcW w:w="611" w:type="dxa"/>
            <w:tcBorders>
              <w:top w:val="nil"/>
              <w:left w:val="nil"/>
              <w:bottom w:val="nil"/>
              <w:right w:val="nil"/>
            </w:tcBorders>
            <w:noWrap/>
            <w:vAlign w:val="center"/>
            <w:hideMark/>
          </w:tcPr>
          <w:p w14:paraId="07FDAADB" w14:textId="77777777" w:rsidR="00CF3950" w:rsidRPr="00CF3950" w:rsidRDefault="00CF3950" w:rsidP="00CF3950">
            <w:pPr>
              <w:spacing w:after="0" w:line="240" w:lineRule="auto"/>
              <w:rPr>
                <w:sz w:val="20"/>
              </w:rPr>
            </w:pPr>
          </w:p>
        </w:tc>
        <w:tc>
          <w:tcPr>
            <w:tcW w:w="4006" w:type="dxa"/>
            <w:tcBorders>
              <w:top w:val="nil"/>
              <w:left w:val="nil"/>
              <w:bottom w:val="nil"/>
              <w:right w:val="nil"/>
            </w:tcBorders>
            <w:noWrap/>
            <w:vAlign w:val="center"/>
            <w:hideMark/>
          </w:tcPr>
          <w:p w14:paraId="29903C9F" w14:textId="77777777" w:rsidR="00CF3950" w:rsidRPr="00CF3950" w:rsidRDefault="00CF3950" w:rsidP="00CF3950">
            <w:pPr>
              <w:spacing w:after="0" w:line="240" w:lineRule="auto"/>
              <w:jc w:val="center"/>
              <w:rPr>
                <w:sz w:val="20"/>
              </w:rPr>
            </w:pPr>
          </w:p>
        </w:tc>
        <w:tc>
          <w:tcPr>
            <w:tcW w:w="1051" w:type="dxa"/>
            <w:tcBorders>
              <w:top w:val="nil"/>
              <w:left w:val="nil"/>
              <w:bottom w:val="nil"/>
              <w:right w:val="nil"/>
            </w:tcBorders>
            <w:noWrap/>
            <w:vAlign w:val="center"/>
            <w:hideMark/>
          </w:tcPr>
          <w:p w14:paraId="1D7267EC" w14:textId="77777777" w:rsidR="00CF3950" w:rsidRPr="00CF3950" w:rsidRDefault="00CF3950" w:rsidP="00CF3950">
            <w:pPr>
              <w:spacing w:after="0" w:line="240" w:lineRule="auto"/>
              <w:rPr>
                <w:sz w:val="20"/>
              </w:rPr>
            </w:pPr>
          </w:p>
        </w:tc>
        <w:tc>
          <w:tcPr>
            <w:tcW w:w="1151" w:type="dxa"/>
            <w:tcBorders>
              <w:top w:val="nil"/>
              <w:left w:val="nil"/>
              <w:bottom w:val="nil"/>
              <w:right w:val="nil"/>
            </w:tcBorders>
            <w:noWrap/>
            <w:vAlign w:val="center"/>
            <w:hideMark/>
          </w:tcPr>
          <w:p w14:paraId="49097923" w14:textId="77777777" w:rsidR="00CF3950" w:rsidRPr="00CF3950" w:rsidRDefault="00CF3950" w:rsidP="00CF3950">
            <w:pPr>
              <w:spacing w:after="0" w:line="240" w:lineRule="auto"/>
              <w:jc w:val="center"/>
              <w:rPr>
                <w:sz w:val="20"/>
              </w:rPr>
            </w:pPr>
          </w:p>
        </w:tc>
        <w:tc>
          <w:tcPr>
            <w:tcW w:w="1367" w:type="dxa"/>
            <w:tcBorders>
              <w:top w:val="nil"/>
              <w:left w:val="nil"/>
              <w:bottom w:val="nil"/>
              <w:right w:val="nil"/>
            </w:tcBorders>
            <w:noWrap/>
            <w:vAlign w:val="center"/>
            <w:hideMark/>
          </w:tcPr>
          <w:p w14:paraId="0B791A98" w14:textId="77777777" w:rsidR="00CF3950" w:rsidRPr="00CF3950" w:rsidRDefault="00CF3950" w:rsidP="00CF3950">
            <w:pPr>
              <w:spacing w:after="0" w:line="240" w:lineRule="auto"/>
              <w:jc w:val="center"/>
              <w:rPr>
                <w:sz w:val="20"/>
              </w:rPr>
            </w:pPr>
          </w:p>
        </w:tc>
        <w:tc>
          <w:tcPr>
            <w:tcW w:w="1167" w:type="dxa"/>
            <w:tcBorders>
              <w:top w:val="nil"/>
              <w:left w:val="nil"/>
              <w:bottom w:val="nil"/>
              <w:right w:val="nil"/>
            </w:tcBorders>
            <w:noWrap/>
            <w:vAlign w:val="center"/>
            <w:hideMark/>
          </w:tcPr>
          <w:p w14:paraId="3FFDFBC1" w14:textId="77777777" w:rsidR="00CF3950" w:rsidRPr="00CF3950" w:rsidRDefault="00CF3950" w:rsidP="00CF3950">
            <w:pPr>
              <w:spacing w:after="0" w:line="240" w:lineRule="auto"/>
              <w:jc w:val="right"/>
              <w:rPr>
                <w:sz w:val="20"/>
              </w:rPr>
            </w:pPr>
          </w:p>
        </w:tc>
        <w:tc>
          <w:tcPr>
            <w:tcW w:w="5268" w:type="dxa"/>
            <w:gridSpan w:val="4"/>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0DB00058" w14:textId="77777777" w:rsidR="00CF3950" w:rsidRPr="00CF3950" w:rsidRDefault="00CF3950" w:rsidP="00CF3950">
            <w:pPr>
              <w:spacing w:after="0" w:line="240" w:lineRule="auto"/>
              <w:jc w:val="center"/>
              <w:rPr>
                <w:b/>
                <w:bCs/>
                <w:sz w:val="20"/>
              </w:rPr>
            </w:pPr>
            <w:r w:rsidRPr="00CF3950">
              <w:rPr>
                <w:b/>
                <w:bCs/>
                <w:sz w:val="20"/>
              </w:rPr>
              <w:t xml:space="preserve">2025. godina </w:t>
            </w:r>
          </w:p>
        </w:tc>
      </w:tr>
      <w:tr w:rsidR="00CF3950" w:rsidRPr="00CF3950" w14:paraId="3D89F6B0" w14:textId="77777777" w:rsidTr="009A6EBA">
        <w:trPr>
          <w:trHeight w:val="480"/>
          <w:jc w:val="center"/>
        </w:trPr>
        <w:tc>
          <w:tcPr>
            <w:tcW w:w="611" w:type="dxa"/>
            <w:vMerge w:val="restart"/>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7CAEE3D4" w14:textId="77777777" w:rsidR="00CF3950" w:rsidRPr="00CF3950" w:rsidRDefault="00CF3950" w:rsidP="00CF3950">
            <w:pPr>
              <w:spacing w:after="0" w:line="240" w:lineRule="auto"/>
              <w:jc w:val="center"/>
              <w:rPr>
                <w:b/>
                <w:bCs/>
                <w:sz w:val="20"/>
              </w:rPr>
            </w:pPr>
            <w:r w:rsidRPr="00CF3950">
              <w:rPr>
                <w:b/>
                <w:bCs/>
                <w:sz w:val="20"/>
              </w:rPr>
              <w:t>Red.</w:t>
            </w:r>
            <w:r w:rsidRPr="00CF3950">
              <w:rPr>
                <w:b/>
                <w:bCs/>
                <w:sz w:val="20"/>
              </w:rPr>
              <w:br/>
              <w:t xml:space="preserve">br. </w:t>
            </w:r>
          </w:p>
        </w:tc>
        <w:tc>
          <w:tcPr>
            <w:tcW w:w="4006" w:type="dxa"/>
            <w:vMerge w:val="restart"/>
            <w:tcBorders>
              <w:top w:val="single" w:sz="4" w:space="0" w:color="auto"/>
              <w:left w:val="single" w:sz="4" w:space="0" w:color="auto"/>
              <w:bottom w:val="single" w:sz="4" w:space="0" w:color="000000"/>
              <w:right w:val="single" w:sz="4" w:space="0" w:color="auto"/>
            </w:tcBorders>
            <w:shd w:val="clear" w:color="000000" w:fill="FAE2D5" w:themeFill="accent2" w:themeFillTint="33"/>
            <w:vAlign w:val="center"/>
            <w:hideMark/>
          </w:tcPr>
          <w:p w14:paraId="5C67432F" w14:textId="77777777" w:rsidR="00CF3950" w:rsidRPr="00CF3950" w:rsidRDefault="00CF3950" w:rsidP="00CF3950">
            <w:pPr>
              <w:spacing w:after="0" w:line="240" w:lineRule="auto"/>
              <w:jc w:val="center"/>
              <w:rPr>
                <w:b/>
                <w:bCs/>
                <w:sz w:val="20"/>
              </w:rPr>
            </w:pPr>
            <w:r w:rsidRPr="00CF3950">
              <w:rPr>
                <w:b/>
                <w:bCs/>
                <w:sz w:val="20"/>
              </w:rPr>
              <w:t>Korisnik</w:t>
            </w:r>
          </w:p>
        </w:tc>
        <w:tc>
          <w:tcPr>
            <w:tcW w:w="1051" w:type="dxa"/>
            <w:vMerge w:val="restart"/>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008955FE" w14:textId="77777777" w:rsidR="00CF3950" w:rsidRPr="00CF3950" w:rsidRDefault="00CF3950" w:rsidP="00CF3950">
            <w:pPr>
              <w:spacing w:after="0" w:line="240" w:lineRule="auto"/>
              <w:jc w:val="center"/>
              <w:rPr>
                <w:b/>
                <w:bCs/>
                <w:sz w:val="20"/>
              </w:rPr>
            </w:pPr>
            <w:r w:rsidRPr="00CF3950">
              <w:rPr>
                <w:b/>
                <w:bCs/>
                <w:sz w:val="20"/>
              </w:rPr>
              <w:t>Namjena kredita</w:t>
            </w:r>
          </w:p>
        </w:tc>
        <w:tc>
          <w:tcPr>
            <w:tcW w:w="1151" w:type="dxa"/>
            <w:vMerge w:val="restart"/>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2FB4A4AD" w14:textId="77777777" w:rsidR="00CF3950" w:rsidRPr="00CF3950" w:rsidRDefault="00CF3950" w:rsidP="00CF3950">
            <w:pPr>
              <w:spacing w:after="0" w:line="240" w:lineRule="auto"/>
              <w:jc w:val="center"/>
              <w:rPr>
                <w:b/>
                <w:bCs/>
                <w:sz w:val="20"/>
              </w:rPr>
            </w:pPr>
            <w:r w:rsidRPr="00CF3950">
              <w:rPr>
                <w:b/>
                <w:bCs/>
                <w:sz w:val="20"/>
              </w:rPr>
              <w:t>Godina izdavanja suglasnosti  /kredita</w:t>
            </w:r>
          </w:p>
        </w:tc>
        <w:tc>
          <w:tcPr>
            <w:tcW w:w="1367" w:type="dxa"/>
            <w:vMerge w:val="restart"/>
            <w:tcBorders>
              <w:top w:val="single" w:sz="4" w:space="0" w:color="auto"/>
              <w:left w:val="single" w:sz="4" w:space="0" w:color="auto"/>
              <w:bottom w:val="single" w:sz="4" w:space="0" w:color="000000"/>
              <w:right w:val="single" w:sz="4" w:space="0" w:color="auto"/>
            </w:tcBorders>
            <w:shd w:val="clear" w:color="000000" w:fill="FAE2D5" w:themeFill="accent2" w:themeFillTint="33"/>
            <w:vAlign w:val="center"/>
            <w:hideMark/>
          </w:tcPr>
          <w:p w14:paraId="401E4B8D" w14:textId="77777777" w:rsidR="00CF3950" w:rsidRPr="00CF3950" w:rsidRDefault="00CF3950" w:rsidP="00CF3950">
            <w:pPr>
              <w:spacing w:after="0" w:line="240" w:lineRule="auto"/>
              <w:jc w:val="center"/>
              <w:rPr>
                <w:b/>
                <w:bCs/>
                <w:sz w:val="20"/>
              </w:rPr>
            </w:pPr>
            <w:r w:rsidRPr="00CF3950">
              <w:rPr>
                <w:b/>
                <w:bCs/>
                <w:sz w:val="20"/>
              </w:rPr>
              <w:t>Iznos suglasnosti / kredita</w:t>
            </w: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6545493C" w14:textId="77777777" w:rsidR="00CF3950" w:rsidRPr="00CF3950" w:rsidRDefault="00CF3950" w:rsidP="00CF3950">
            <w:pPr>
              <w:spacing w:after="0" w:line="240" w:lineRule="auto"/>
              <w:jc w:val="center"/>
              <w:rPr>
                <w:b/>
                <w:bCs/>
                <w:sz w:val="20"/>
              </w:rPr>
            </w:pPr>
            <w:r w:rsidRPr="00CF3950">
              <w:rPr>
                <w:b/>
                <w:bCs/>
                <w:sz w:val="20"/>
              </w:rPr>
              <w:t>Datum dospijeća kredita</w:t>
            </w:r>
          </w:p>
        </w:tc>
        <w:tc>
          <w:tcPr>
            <w:tcW w:w="1366" w:type="dxa"/>
            <w:vMerge w:val="restart"/>
            <w:tcBorders>
              <w:top w:val="nil"/>
              <w:left w:val="single" w:sz="4" w:space="0" w:color="auto"/>
              <w:bottom w:val="single" w:sz="4" w:space="0" w:color="000000"/>
              <w:right w:val="single" w:sz="4" w:space="0" w:color="auto"/>
            </w:tcBorders>
            <w:shd w:val="clear" w:color="000000" w:fill="FAE2D5" w:themeFill="accent2" w:themeFillTint="33"/>
            <w:vAlign w:val="center"/>
            <w:hideMark/>
          </w:tcPr>
          <w:p w14:paraId="2E175F43" w14:textId="77777777" w:rsidR="00CF3950" w:rsidRPr="00CF3950" w:rsidRDefault="00CF3950" w:rsidP="00CF3950">
            <w:pPr>
              <w:spacing w:after="0" w:line="240" w:lineRule="auto"/>
              <w:jc w:val="center"/>
              <w:rPr>
                <w:b/>
                <w:bCs/>
                <w:sz w:val="20"/>
              </w:rPr>
            </w:pPr>
            <w:r w:rsidRPr="00CF3950">
              <w:rPr>
                <w:b/>
                <w:bCs/>
                <w:sz w:val="20"/>
              </w:rPr>
              <w:t xml:space="preserve">Stanje      </w:t>
            </w:r>
            <w:r w:rsidRPr="00CF3950">
              <w:rPr>
                <w:b/>
                <w:bCs/>
                <w:sz w:val="20"/>
              </w:rPr>
              <w:br/>
              <w:t xml:space="preserve">na dan </w:t>
            </w:r>
            <w:r w:rsidRPr="00CF3950">
              <w:rPr>
                <w:b/>
                <w:bCs/>
                <w:sz w:val="20"/>
              </w:rPr>
              <w:br/>
              <w:t>01.01.</w:t>
            </w:r>
          </w:p>
        </w:tc>
        <w:tc>
          <w:tcPr>
            <w:tcW w:w="1267" w:type="dxa"/>
            <w:vMerge w:val="restart"/>
            <w:tcBorders>
              <w:top w:val="nil"/>
              <w:left w:val="single" w:sz="4" w:space="0" w:color="auto"/>
              <w:bottom w:val="single" w:sz="4" w:space="0" w:color="auto"/>
              <w:right w:val="single" w:sz="4" w:space="0" w:color="auto"/>
            </w:tcBorders>
            <w:shd w:val="clear" w:color="000000" w:fill="FAE2D5" w:themeFill="accent2" w:themeFillTint="33"/>
            <w:vAlign w:val="center"/>
            <w:hideMark/>
          </w:tcPr>
          <w:p w14:paraId="51AE465C" w14:textId="77777777" w:rsidR="00CF3950" w:rsidRPr="00CF3950" w:rsidRDefault="00CF3950" w:rsidP="00CF3950">
            <w:pPr>
              <w:spacing w:after="0" w:line="240" w:lineRule="auto"/>
              <w:jc w:val="center"/>
              <w:rPr>
                <w:b/>
                <w:bCs/>
                <w:sz w:val="20"/>
              </w:rPr>
            </w:pPr>
            <w:r w:rsidRPr="00CF3950">
              <w:rPr>
                <w:b/>
                <w:bCs/>
                <w:sz w:val="20"/>
              </w:rPr>
              <w:t>Izdane suglasnosti / iskorišteni iznos kredita</w:t>
            </w:r>
          </w:p>
        </w:tc>
        <w:tc>
          <w:tcPr>
            <w:tcW w:w="1267" w:type="dxa"/>
            <w:vMerge w:val="restart"/>
            <w:tcBorders>
              <w:top w:val="nil"/>
              <w:left w:val="single" w:sz="4" w:space="0" w:color="auto"/>
              <w:bottom w:val="single" w:sz="4" w:space="0" w:color="auto"/>
              <w:right w:val="single" w:sz="4" w:space="0" w:color="auto"/>
            </w:tcBorders>
            <w:shd w:val="clear" w:color="000000" w:fill="FAE2D5" w:themeFill="accent2" w:themeFillTint="33"/>
            <w:vAlign w:val="center"/>
            <w:hideMark/>
          </w:tcPr>
          <w:p w14:paraId="25CE1A08" w14:textId="77777777" w:rsidR="00CF3950" w:rsidRPr="00CF3950" w:rsidRDefault="00CF3950" w:rsidP="00CF3950">
            <w:pPr>
              <w:spacing w:after="0" w:line="240" w:lineRule="auto"/>
              <w:jc w:val="center"/>
              <w:rPr>
                <w:b/>
                <w:bCs/>
                <w:sz w:val="20"/>
              </w:rPr>
            </w:pPr>
            <w:r w:rsidRPr="00CF3950">
              <w:rPr>
                <w:b/>
                <w:bCs/>
                <w:sz w:val="20"/>
              </w:rPr>
              <w:t>Otplaćeno</w:t>
            </w:r>
          </w:p>
        </w:tc>
        <w:tc>
          <w:tcPr>
            <w:tcW w:w="1368" w:type="dxa"/>
            <w:vMerge w:val="restart"/>
            <w:tcBorders>
              <w:top w:val="nil"/>
              <w:left w:val="single" w:sz="4" w:space="0" w:color="auto"/>
              <w:bottom w:val="single" w:sz="4" w:space="0" w:color="auto"/>
              <w:right w:val="single" w:sz="4" w:space="0" w:color="auto"/>
            </w:tcBorders>
            <w:shd w:val="clear" w:color="000000" w:fill="FAE2D5" w:themeFill="accent2" w:themeFillTint="33"/>
            <w:vAlign w:val="center"/>
            <w:hideMark/>
          </w:tcPr>
          <w:p w14:paraId="6EC959E1" w14:textId="77777777" w:rsidR="00CF3950" w:rsidRPr="00CF3950" w:rsidRDefault="00CF3950" w:rsidP="00CF3950">
            <w:pPr>
              <w:spacing w:after="0" w:line="240" w:lineRule="auto"/>
              <w:jc w:val="center"/>
              <w:rPr>
                <w:b/>
                <w:bCs/>
                <w:sz w:val="20"/>
              </w:rPr>
            </w:pPr>
            <w:r w:rsidRPr="00CF3950">
              <w:rPr>
                <w:b/>
                <w:bCs/>
                <w:sz w:val="20"/>
              </w:rPr>
              <w:t>Stanje na dan 31.12.</w:t>
            </w:r>
          </w:p>
        </w:tc>
      </w:tr>
      <w:tr w:rsidR="00CF3950" w:rsidRPr="00CF3950" w14:paraId="298916BF" w14:textId="77777777" w:rsidTr="009A6EBA">
        <w:trPr>
          <w:trHeight w:val="597"/>
          <w:jc w:val="center"/>
        </w:trPr>
        <w:tc>
          <w:tcPr>
            <w:tcW w:w="611" w:type="dxa"/>
            <w:vMerge/>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70C991C8" w14:textId="77777777" w:rsidR="00CF3950" w:rsidRPr="00CF3950" w:rsidRDefault="00CF3950" w:rsidP="00CF3950">
            <w:pPr>
              <w:spacing w:after="0" w:line="240" w:lineRule="auto"/>
              <w:rPr>
                <w:b/>
                <w:bCs/>
                <w:sz w:val="20"/>
              </w:rPr>
            </w:pPr>
          </w:p>
        </w:tc>
        <w:tc>
          <w:tcPr>
            <w:tcW w:w="4006" w:type="dxa"/>
            <w:vMerge/>
            <w:tcBorders>
              <w:top w:val="single" w:sz="4" w:space="0" w:color="auto"/>
              <w:left w:val="single" w:sz="4" w:space="0" w:color="auto"/>
              <w:bottom w:val="single" w:sz="4" w:space="0" w:color="000000"/>
              <w:right w:val="single" w:sz="4" w:space="0" w:color="auto"/>
            </w:tcBorders>
            <w:shd w:val="clear" w:color="000000" w:fill="FAE2D5" w:themeFill="accent2" w:themeFillTint="33"/>
            <w:vAlign w:val="center"/>
            <w:hideMark/>
          </w:tcPr>
          <w:p w14:paraId="7FEA894F" w14:textId="77777777" w:rsidR="00CF3950" w:rsidRPr="00CF3950" w:rsidRDefault="00CF3950" w:rsidP="00CF3950">
            <w:pPr>
              <w:spacing w:after="0" w:line="240" w:lineRule="auto"/>
              <w:rPr>
                <w:b/>
                <w:bCs/>
                <w:sz w:val="20"/>
              </w:rPr>
            </w:pPr>
          </w:p>
        </w:tc>
        <w:tc>
          <w:tcPr>
            <w:tcW w:w="1051" w:type="dxa"/>
            <w:vMerge/>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63A28C04" w14:textId="77777777" w:rsidR="00CF3950" w:rsidRPr="00CF3950" w:rsidRDefault="00CF3950" w:rsidP="00CF3950">
            <w:pPr>
              <w:spacing w:after="0" w:line="240" w:lineRule="auto"/>
              <w:rPr>
                <w:b/>
                <w:bCs/>
                <w:sz w:val="20"/>
              </w:rPr>
            </w:pPr>
          </w:p>
        </w:tc>
        <w:tc>
          <w:tcPr>
            <w:tcW w:w="1151" w:type="dxa"/>
            <w:vMerge/>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6DE25A14" w14:textId="77777777" w:rsidR="00CF3950" w:rsidRPr="00CF3950" w:rsidRDefault="00CF3950" w:rsidP="00CF3950">
            <w:pPr>
              <w:spacing w:after="0" w:line="240" w:lineRule="auto"/>
              <w:rPr>
                <w:b/>
                <w:bCs/>
                <w:sz w:val="20"/>
              </w:rPr>
            </w:pPr>
          </w:p>
        </w:tc>
        <w:tc>
          <w:tcPr>
            <w:tcW w:w="1367" w:type="dxa"/>
            <w:vMerge/>
            <w:tcBorders>
              <w:top w:val="single" w:sz="4" w:space="0" w:color="auto"/>
              <w:left w:val="single" w:sz="4" w:space="0" w:color="auto"/>
              <w:bottom w:val="single" w:sz="4" w:space="0" w:color="000000"/>
              <w:right w:val="single" w:sz="4" w:space="0" w:color="auto"/>
            </w:tcBorders>
            <w:shd w:val="clear" w:color="000000" w:fill="FAE2D5" w:themeFill="accent2" w:themeFillTint="33"/>
            <w:vAlign w:val="center"/>
            <w:hideMark/>
          </w:tcPr>
          <w:p w14:paraId="1FA6AF4C" w14:textId="77777777" w:rsidR="00CF3950" w:rsidRPr="00CF3950" w:rsidRDefault="00CF3950" w:rsidP="00CF3950">
            <w:pPr>
              <w:spacing w:after="0" w:line="240" w:lineRule="auto"/>
              <w:rPr>
                <w:b/>
                <w:bCs/>
                <w:sz w:val="20"/>
              </w:rPr>
            </w:pPr>
          </w:p>
        </w:tc>
        <w:tc>
          <w:tcPr>
            <w:tcW w:w="1167" w:type="dxa"/>
            <w:vMerge/>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589FBE2A" w14:textId="77777777" w:rsidR="00CF3950" w:rsidRPr="00CF3950" w:rsidRDefault="00CF3950" w:rsidP="00CF3950">
            <w:pPr>
              <w:spacing w:after="0" w:line="240" w:lineRule="auto"/>
              <w:rPr>
                <w:b/>
                <w:bCs/>
                <w:sz w:val="20"/>
              </w:rPr>
            </w:pPr>
          </w:p>
        </w:tc>
        <w:tc>
          <w:tcPr>
            <w:tcW w:w="1366" w:type="dxa"/>
            <w:vMerge/>
            <w:tcBorders>
              <w:top w:val="single" w:sz="4" w:space="0" w:color="auto"/>
              <w:left w:val="single" w:sz="4" w:space="0" w:color="auto"/>
              <w:bottom w:val="single" w:sz="4" w:space="0" w:color="000000"/>
              <w:right w:val="single" w:sz="4" w:space="0" w:color="auto"/>
            </w:tcBorders>
            <w:shd w:val="clear" w:color="000000" w:fill="FAE2D5" w:themeFill="accent2" w:themeFillTint="33"/>
            <w:vAlign w:val="center"/>
            <w:hideMark/>
          </w:tcPr>
          <w:p w14:paraId="034F3D02" w14:textId="77777777" w:rsidR="00CF3950" w:rsidRPr="00CF3950" w:rsidRDefault="00CF3950" w:rsidP="00CF3950">
            <w:pPr>
              <w:spacing w:after="0" w:line="240" w:lineRule="auto"/>
              <w:rPr>
                <w:b/>
                <w:bCs/>
                <w:sz w:val="20"/>
              </w:rPr>
            </w:pPr>
          </w:p>
        </w:tc>
        <w:tc>
          <w:tcPr>
            <w:tcW w:w="1267" w:type="dxa"/>
            <w:vMerge/>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11E430D9" w14:textId="77777777" w:rsidR="00CF3950" w:rsidRPr="00CF3950" w:rsidRDefault="00CF3950" w:rsidP="00CF3950">
            <w:pPr>
              <w:spacing w:after="0" w:line="240" w:lineRule="auto"/>
              <w:rPr>
                <w:b/>
                <w:bCs/>
                <w:sz w:val="20"/>
              </w:rPr>
            </w:pPr>
          </w:p>
        </w:tc>
        <w:tc>
          <w:tcPr>
            <w:tcW w:w="1267" w:type="dxa"/>
            <w:vMerge/>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7A32B45F" w14:textId="77777777" w:rsidR="00CF3950" w:rsidRPr="00CF3950" w:rsidRDefault="00CF3950" w:rsidP="00CF3950">
            <w:pPr>
              <w:spacing w:after="0" w:line="240" w:lineRule="auto"/>
              <w:rPr>
                <w:b/>
                <w:bCs/>
                <w:sz w:val="20"/>
              </w:rPr>
            </w:pPr>
          </w:p>
        </w:tc>
        <w:tc>
          <w:tcPr>
            <w:tcW w:w="1368" w:type="dxa"/>
            <w:vMerge/>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063E928E" w14:textId="77777777" w:rsidR="00CF3950" w:rsidRPr="00CF3950" w:rsidRDefault="00CF3950" w:rsidP="00CF3950">
            <w:pPr>
              <w:spacing w:after="0" w:line="240" w:lineRule="auto"/>
              <w:rPr>
                <w:b/>
                <w:bCs/>
                <w:sz w:val="20"/>
              </w:rPr>
            </w:pPr>
          </w:p>
        </w:tc>
      </w:tr>
      <w:tr w:rsidR="00CF3950" w:rsidRPr="00CF3950" w14:paraId="2D863B6E"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0B3A69F8" w14:textId="77777777" w:rsidR="00CF3950" w:rsidRPr="00CF3950" w:rsidRDefault="00CF3950" w:rsidP="00CF3950">
            <w:pPr>
              <w:spacing w:after="0" w:line="240" w:lineRule="auto"/>
              <w:jc w:val="center"/>
              <w:rPr>
                <w:sz w:val="20"/>
              </w:rPr>
            </w:pPr>
            <w:r w:rsidRPr="00CF3950">
              <w:rPr>
                <w:sz w:val="20"/>
              </w:rPr>
              <w:t>1.</w:t>
            </w:r>
          </w:p>
        </w:tc>
        <w:tc>
          <w:tcPr>
            <w:tcW w:w="4006" w:type="dxa"/>
            <w:tcBorders>
              <w:top w:val="nil"/>
              <w:left w:val="nil"/>
              <w:bottom w:val="single" w:sz="4" w:space="0" w:color="auto"/>
              <w:right w:val="single" w:sz="4" w:space="0" w:color="auto"/>
            </w:tcBorders>
            <w:vAlign w:val="center"/>
            <w:hideMark/>
          </w:tcPr>
          <w:p w14:paraId="5AFFF4A2" w14:textId="77777777" w:rsidR="00CF3950" w:rsidRPr="00CF3950" w:rsidRDefault="00CF3950" w:rsidP="00CF3950">
            <w:pPr>
              <w:spacing w:after="0" w:line="240" w:lineRule="auto"/>
              <w:rPr>
                <w:sz w:val="20"/>
              </w:rPr>
            </w:pPr>
            <w:r w:rsidRPr="00CF3950">
              <w:rPr>
                <w:sz w:val="20"/>
              </w:rPr>
              <w:t>Srednje škole</w:t>
            </w:r>
          </w:p>
        </w:tc>
        <w:tc>
          <w:tcPr>
            <w:tcW w:w="1051" w:type="dxa"/>
            <w:tcBorders>
              <w:top w:val="nil"/>
              <w:left w:val="nil"/>
              <w:bottom w:val="single" w:sz="4" w:space="0" w:color="auto"/>
              <w:right w:val="single" w:sz="4" w:space="0" w:color="auto"/>
            </w:tcBorders>
            <w:vAlign w:val="center"/>
            <w:hideMark/>
          </w:tcPr>
          <w:p w14:paraId="2858C4C4" w14:textId="77777777" w:rsidR="00CF3950" w:rsidRPr="00CF3950" w:rsidRDefault="00CF3950" w:rsidP="00CF3950">
            <w:pPr>
              <w:spacing w:after="0" w:line="240" w:lineRule="auto"/>
              <w:jc w:val="center"/>
              <w:rPr>
                <w:sz w:val="20"/>
              </w:rPr>
            </w:pPr>
            <w:r w:rsidRPr="00CF3950">
              <w:rPr>
                <w:sz w:val="20"/>
              </w:rPr>
              <w:t>EnU</w:t>
            </w:r>
          </w:p>
        </w:tc>
        <w:tc>
          <w:tcPr>
            <w:tcW w:w="1151" w:type="dxa"/>
            <w:tcBorders>
              <w:top w:val="nil"/>
              <w:left w:val="nil"/>
              <w:bottom w:val="single" w:sz="4" w:space="0" w:color="auto"/>
              <w:right w:val="single" w:sz="4" w:space="0" w:color="auto"/>
            </w:tcBorders>
            <w:vAlign w:val="center"/>
            <w:hideMark/>
          </w:tcPr>
          <w:p w14:paraId="70816BD7" w14:textId="77777777" w:rsidR="00CF3950" w:rsidRPr="00CF3950" w:rsidRDefault="00CF3950" w:rsidP="00CF3950">
            <w:pPr>
              <w:spacing w:after="0" w:line="240" w:lineRule="auto"/>
              <w:jc w:val="center"/>
              <w:rPr>
                <w:sz w:val="20"/>
              </w:rPr>
            </w:pPr>
            <w:r w:rsidRPr="00CF3950">
              <w:rPr>
                <w:sz w:val="20"/>
              </w:rPr>
              <w:t>2013.</w:t>
            </w:r>
          </w:p>
        </w:tc>
        <w:tc>
          <w:tcPr>
            <w:tcW w:w="1367" w:type="dxa"/>
            <w:tcBorders>
              <w:top w:val="nil"/>
              <w:left w:val="nil"/>
              <w:bottom w:val="single" w:sz="4" w:space="0" w:color="auto"/>
              <w:right w:val="single" w:sz="4" w:space="0" w:color="auto"/>
            </w:tcBorders>
            <w:vAlign w:val="center"/>
            <w:hideMark/>
          </w:tcPr>
          <w:p w14:paraId="301312BD" w14:textId="77777777" w:rsidR="00CF3950" w:rsidRPr="00CF3950" w:rsidRDefault="00CF3950" w:rsidP="00CF3950">
            <w:pPr>
              <w:spacing w:after="0" w:line="240" w:lineRule="auto"/>
              <w:jc w:val="right"/>
              <w:rPr>
                <w:b/>
                <w:bCs/>
                <w:sz w:val="20"/>
              </w:rPr>
            </w:pPr>
            <w:r w:rsidRPr="00CF3950">
              <w:rPr>
                <w:sz w:val="20"/>
              </w:rPr>
              <w:t>731.418,81</w:t>
            </w:r>
          </w:p>
        </w:tc>
        <w:tc>
          <w:tcPr>
            <w:tcW w:w="1167" w:type="dxa"/>
            <w:tcBorders>
              <w:top w:val="nil"/>
              <w:left w:val="nil"/>
              <w:bottom w:val="single" w:sz="4" w:space="0" w:color="auto"/>
              <w:right w:val="single" w:sz="4" w:space="0" w:color="auto"/>
            </w:tcBorders>
            <w:vAlign w:val="center"/>
            <w:hideMark/>
          </w:tcPr>
          <w:p w14:paraId="66C2AB68" w14:textId="77777777" w:rsidR="00CF3950" w:rsidRPr="00CF3950" w:rsidRDefault="00CF3950" w:rsidP="00CF3950">
            <w:pPr>
              <w:spacing w:after="0" w:line="240" w:lineRule="auto"/>
              <w:jc w:val="center"/>
              <w:rPr>
                <w:sz w:val="20"/>
              </w:rPr>
            </w:pPr>
            <w:r w:rsidRPr="00CF3950">
              <w:rPr>
                <w:sz w:val="20"/>
              </w:rPr>
              <w:t>31.10.2027.</w:t>
            </w:r>
          </w:p>
        </w:tc>
        <w:tc>
          <w:tcPr>
            <w:tcW w:w="1366" w:type="dxa"/>
            <w:tcBorders>
              <w:top w:val="nil"/>
              <w:left w:val="nil"/>
              <w:bottom w:val="single" w:sz="4" w:space="0" w:color="auto"/>
              <w:right w:val="single" w:sz="4" w:space="0" w:color="auto"/>
            </w:tcBorders>
            <w:vAlign w:val="center"/>
            <w:hideMark/>
          </w:tcPr>
          <w:p w14:paraId="5536B150" w14:textId="77777777" w:rsidR="00CF3950" w:rsidRPr="00CF3950" w:rsidRDefault="00CF3950" w:rsidP="00CF3950">
            <w:pPr>
              <w:spacing w:after="0" w:line="240" w:lineRule="auto"/>
              <w:jc w:val="right"/>
              <w:rPr>
                <w:b/>
                <w:bCs/>
                <w:sz w:val="20"/>
              </w:rPr>
            </w:pPr>
            <w:r w:rsidRPr="00CF3950">
              <w:rPr>
                <w:sz w:val="20"/>
              </w:rPr>
              <w:t>168.853,45</w:t>
            </w:r>
          </w:p>
        </w:tc>
        <w:tc>
          <w:tcPr>
            <w:tcW w:w="1267" w:type="dxa"/>
            <w:tcBorders>
              <w:top w:val="nil"/>
              <w:left w:val="nil"/>
              <w:bottom w:val="single" w:sz="4" w:space="0" w:color="auto"/>
              <w:right w:val="single" w:sz="4" w:space="0" w:color="auto"/>
            </w:tcBorders>
            <w:vAlign w:val="center"/>
            <w:hideMark/>
          </w:tcPr>
          <w:p w14:paraId="2E3D1F8F" w14:textId="77777777" w:rsidR="00CF3950" w:rsidRPr="00CF3950" w:rsidRDefault="00CF3950" w:rsidP="00CF3950">
            <w:pPr>
              <w:spacing w:after="0" w:line="240" w:lineRule="auto"/>
              <w:jc w:val="right"/>
              <w:rPr>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79F06E16" w14:textId="77777777" w:rsidR="00CF3950" w:rsidRPr="00CF3950" w:rsidRDefault="00CF3950" w:rsidP="00CF3950">
            <w:pPr>
              <w:spacing w:after="0" w:line="240" w:lineRule="auto"/>
              <w:jc w:val="right"/>
              <w:rPr>
                <w:sz w:val="20"/>
              </w:rPr>
            </w:pPr>
            <w:r w:rsidRPr="00CF3950">
              <w:rPr>
                <w:sz w:val="20"/>
              </w:rPr>
              <w:t>59.797,73</w:t>
            </w:r>
          </w:p>
        </w:tc>
        <w:tc>
          <w:tcPr>
            <w:tcW w:w="1368" w:type="dxa"/>
            <w:tcBorders>
              <w:top w:val="nil"/>
              <w:left w:val="nil"/>
              <w:bottom w:val="single" w:sz="4" w:space="0" w:color="auto"/>
              <w:right w:val="single" w:sz="4" w:space="0" w:color="auto"/>
            </w:tcBorders>
            <w:vAlign w:val="center"/>
          </w:tcPr>
          <w:p w14:paraId="17BC4A97" w14:textId="77777777" w:rsidR="00CF3950" w:rsidRPr="00CF3950" w:rsidRDefault="00CF3950" w:rsidP="00CF3950">
            <w:pPr>
              <w:spacing w:after="0" w:line="240" w:lineRule="auto"/>
              <w:jc w:val="right"/>
              <w:rPr>
                <w:sz w:val="20"/>
              </w:rPr>
            </w:pPr>
            <w:r w:rsidRPr="00CF3950">
              <w:rPr>
                <w:sz w:val="20"/>
              </w:rPr>
              <w:t>109.055,72</w:t>
            </w:r>
          </w:p>
        </w:tc>
      </w:tr>
      <w:tr w:rsidR="00CF3950" w:rsidRPr="00CF3950" w14:paraId="0744CC07"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11A2A3C2" w14:textId="77777777" w:rsidR="00CF3950" w:rsidRPr="00CF3950" w:rsidRDefault="00CF3950" w:rsidP="00CF3950">
            <w:pPr>
              <w:spacing w:after="0" w:line="240" w:lineRule="auto"/>
              <w:jc w:val="center"/>
              <w:rPr>
                <w:sz w:val="20"/>
              </w:rPr>
            </w:pPr>
            <w:r w:rsidRPr="00CF3950">
              <w:rPr>
                <w:sz w:val="20"/>
              </w:rPr>
              <w:t>2.</w:t>
            </w:r>
          </w:p>
        </w:tc>
        <w:tc>
          <w:tcPr>
            <w:tcW w:w="4006" w:type="dxa"/>
            <w:tcBorders>
              <w:top w:val="nil"/>
              <w:left w:val="nil"/>
              <w:bottom w:val="single" w:sz="4" w:space="0" w:color="auto"/>
              <w:right w:val="single" w:sz="4" w:space="0" w:color="auto"/>
            </w:tcBorders>
            <w:vAlign w:val="center"/>
            <w:hideMark/>
          </w:tcPr>
          <w:p w14:paraId="2771172E" w14:textId="77777777" w:rsidR="00CF3950" w:rsidRPr="00CF3950" w:rsidRDefault="00CF3950" w:rsidP="00CF3950">
            <w:pPr>
              <w:spacing w:after="0" w:line="240" w:lineRule="auto"/>
              <w:rPr>
                <w:sz w:val="20"/>
              </w:rPr>
            </w:pPr>
            <w:r w:rsidRPr="00CF3950">
              <w:rPr>
                <w:sz w:val="20"/>
              </w:rPr>
              <w:t>Srednje škole</w:t>
            </w:r>
          </w:p>
        </w:tc>
        <w:tc>
          <w:tcPr>
            <w:tcW w:w="1051" w:type="dxa"/>
            <w:tcBorders>
              <w:top w:val="nil"/>
              <w:left w:val="nil"/>
              <w:bottom w:val="single" w:sz="4" w:space="0" w:color="auto"/>
              <w:right w:val="single" w:sz="4" w:space="0" w:color="auto"/>
            </w:tcBorders>
            <w:vAlign w:val="center"/>
            <w:hideMark/>
          </w:tcPr>
          <w:p w14:paraId="3893010D" w14:textId="77777777" w:rsidR="00CF3950" w:rsidRPr="00CF3950" w:rsidRDefault="00CF3950" w:rsidP="00CF3950">
            <w:pPr>
              <w:spacing w:after="0" w:line="240" w:lineRule="auto"/>
              <w:jc w:val="center"/>
              <w:rPr>
                <w:sz w:val="20"/>
              </w:rPr>
            </w:pPr>
            <w:r w:rsidRPr="00CF3950">
              <w:rPr>
                <w:sz w:val="20"/>
              </w:rPr>
              <w:t>EnU</w:t>
            </w:r>
          </w:p>
        </w:tc>
        <w:tc>
          <w:tcPr>
            <w:tcW w:w="1151" w:type="dxa"/>
            <w:tcBorders>
              <w:top w:val="nil"/>
              <w:left w:val="nil"/>
              <w:bottom w:val="single" w:sz="4" w:space="0" w:color="auto"/>
              <w:right w:val="single" w:sz="4" w:space="0" w:color="auto"/>
            </w:tcBorders>
            <w:vAlign w:val="center"/>
            <w:hideMark/>
          </w:tcPr>
          <w:p w14:paraId="7A9C122E" w14:textId="77777777" w:rsidR="00CF3950" w:rsidRPr="00CF3950" w:rsidRDefault="00CF3950" w:rsidP="00CF3950">
            <w:pPr>
              <w:spacing w:after="0" w:line="240" w:lineRule="auto"/>
              <w:jc w:val="center"/>
              <w:rPr>
                <w:sz w:val="20"/>
              </w:rPr>
            </w:pPr>
            <w:r w:rsidRPr="00CF3950">
              <w:rPr>
                <w:sz w:val="20"/>
              </w:rPr>
              <w:t>2013.</w:t>
            </w:r>
          </w:p>
        </w:tc>
        <w:tc>
          <w:tcPr>
            <w:tcW w:w="1367" w:type="dxa"/>
            <w:tcBorders>
              <w:top w:val="nil"/>
              <w:left w:val="nil"/>
              <w:bottom w:val="single" w:sz="4" w:space="0" w:color="auto"/>
              <w:right w:val="single" w:sz="4" w:space="0" w:color="auto"/>
            </w:tcBorders>
            <w:vAlign w:val="center"/>
            <w:hideMark/>
          </w:tcPr>
          <w:p w14:paraId="50727355" w14:textId="77777777" w:rsidR="00CF3950" w:rsidRPr="00CF3950" w:rsidRDefault="00CF3950" w:rsidP="00CF3950">
            <w:pPr>
              <w:spacing w:after="0" w:line="240" w:lineRule="auto"/>
              <w:jc w:val="right"/>
              <w:rPr>
                <w:b/>
                <w:bCs/>
                <w:sz w:val="20"/>
              </w:rPr>
            </w:pPr>
            <w:r w:rsidRPr="00CF3950">
              <w:rPr>
                <w:sz w:val="20"/>
              </w:rPr>
              <w:t>1.993.867,87</w:t>
            </w:r>
          </w:p>
        </w:tc>
        <w:tc>
          <w:tcPr>
            <w:tcW w:w="1167" w:type="dxa"/>
            <w:tcBorders>
              <w:top w:val="nil"/>
              <w:left w:val="nil"/>
              <w:bottom w:val="single" w:sz="4" w:space="0" w:color="auto"/>
              <w:right w:val="single" w:sz="4" w:space="0" w:color="auto"/>
            </w:tcBorders>
            <w:vAlign w:val="center"/>
            <w:hideMark/>
          </w:tcPr>
          <w:p w14:paraId="51BF7133" w14:textId="77777777" w:rsidR="00CF3950" w:rsidRPr="00CF3950" w:rsidRDefault="00CF3950" w:rsidP="00CF3950">
            <w:pPr>
              <w:spacing w:after="0" w:line="240" w:lineRule="auto"/>
              <w:jc w:val="center"/>
              <w:rPr>
                <w:sz w:val="20"/>
              </w:rPr>
            </w:pPr>
            <w:r w:rsidRPr="00CF3950">
              <w:rPr>
                <w:sz w:val="20"/>
              </w:rPr>
              <w:t>31.10.2027.</w:t>
            </w:r>
          </w:p>
        </w:tc>
        <w:tc>
          <w:tcPr>
            <w:tcW w:w="1366" w:type="dxa"/>
            <w:tcBorders>
              <w:top w:val="nil"/>
              <w:left w:val="nil"/>
              <w:bottom w:val="single" w:sz="4" w:space="0" w:color="auto"/>
              <w:right w:val="single" w:sz="4" w:space="0" w:color="auto"/>
            </w:tcBorders>
            <w:vAlign w:val="center"/>
            <w:hideMark/>
          </w:tcPr>
          <w:p w14:paraId="38668BE4" w14:textId="77777777" w:rsidR="00CF3950" w:rsidRPr="00CF3950" w:rsidRDefault="00CF3950" w:rsidP="00CF3950">
            <w:pPr>
              <w:spacing w:after="0" w:line="240" w:lineRule="auto"/>
              <w:jc w:val="right"/>
              <w:rPr>
                <w:b/>
                <w:bCs/>
                <w:sz w:val="20"/>
              </w:rPr>
            </w:pPr>
            <w:r w:rsidRPr="00CF3950">
              <w:rPr>
                <w:sz w:val="20"/>
              </w:rPr>
              <w:t>460.299,14</w:t>
            </w:r>
          </w:p>
        </w:tc>
        <w:tc>
          <w:tcPr>
            <w:tcW w:w="1267" w:type="dxa"/>
            <w:tcBorders>
              <w:top w:val="nil"/>
              <w:left w:val="nil"/>
              <w:bottom w:val="single" w:sz="4" w:space="0" w:color="auto"/>
              <w:right w:val="single" w:sz="4" w:space="0" w:color="auto"/>
            </w:tcBorders>
            <w:vAlign w:val="center"/>
            <w:hideMark/>
          </w:tcPr>
          <w:p w14:paraId="511185EA" w14:textId="77777777" w:rsidR="00CF3950" w:rsidRPr="00CF3950" w:rsidRDefault="00CF3950" w:rsidP="00CF3950">
            <w:pPr>
              <w:spacing w:after="0" w:line="240" w:lineRule="auto"/>
              <w:jc w:val="right"/>
              <w:rPr>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284B44EA" w14:textId="77777777" w:rsidR="00CF3950" w:rsidRPr="00CF3950" w:rsidRDefault="00CF3950" w:rsidP="00CF3950">
            <w:pPr>
              <w:spacing w:after="0" w:line="240" w:lineRule="auto"/>
              <w:jc w:val="right"/>
              <w:rPr>
                <w:sz w:val="20"/>
              </w:rPr>
            </w:pPr>
            <w:r w:rsidRPr="00CF3950">
              <w:rPr>
                <w:sz w:val="20"/>
              </w:rPr>
              <w:t>163.010,23</w:t>
            </w:r>
          </w:p>
        </w:tc>
        <w:tc>
          <w:tcPr>
            <w:tcW w:w="1368" w:type="dxa"/>
            <w:tcBorders>
              <w:top w:val="nil"/>
              <w:left w:val="nil"/>
              <w:bottom w:val="single" w:sz="4" w:space="0" w:color="auto"/>
              <w:right w:val="single" w:sz="4" w:space="0" w:color="auto"/>
            </w:tcBorders>
            <w:vAlign w:val="center"/>
          </w:tcPr>
          <w:p w14:paraId="6A9F95DA" w14:textId="77777777" w:rsidR="00CF3950" w:rsidRPr="00CF3950" w:rsidRDefault="00CF3950" w:rsidP="00CF3950">
            <w:pPr>
              <w:spacing w:after="0" w:line="240" w:lineRule="auto"/>
              <w:jc w:val="right"/>
              <w:rPr>
                <w:sz w:val="20"/>
              </w:rPr>
            </w:pPr>
            <w:r w:rsidRPr="00CF3950">
              <w:rPr>
                <w:sz w:val="20"/>
              </w:rPr>
              <w:t>297.288,91</w:t>
            </w:r>
          </w:p>
        </w:tc>
      </w:tr>
      <w:tr w:rsidR="00CF3950" w:rsidRPr="00CF3950" w14:paraId="15CFFC6A"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7553D75F" w14:textId="77777777" w:rsidR="00CF3950" w:rsidRPr="00CF3950" w:rsidRDefault="00CF3950" w:rsidP="00CF3950">
            <w:pPr>
              <w:spacing w:after="0" w:line="240" w:lineRule="auto"/>
              <w:jc w:val="center"/>
              <w:rPr>
                <w:sz w:val="20"/>
              </w:rPr>
            </w:pPr>
            <w:r w:rsidRPr="00CF3950">
              <w:rPr>
                <w:sz w:val="20"/>
              </w:rPr>
              <w:t>3.</w:t>
            </w:r>
          </w:p>
        </w:tc>
        <w:tc>
          <w:tcPr>
            <w:tcW w:w="4006" w:type="dxa"/>
            <w:tcBorders>
              <w:top w:val="nil"/>
              <w:left w:val="nil"/>
              <w:bottom w:val="single" w:sz="4" w:space="0" w:color="auto"/>
              <w:right w:val="single" w:sz="4" w:space="0" w:color="auto"/>
            </w:tcBorders>
            <w:vAlign w:val="center"/>
            <w:hideMark/>
          </w:tcPr>
          <w:p w14:paraId="2C7A4582" w14:textId="77777777" w:rsidR="00CF3950" w:rsidRPr="00CF3950" w:rsidRDefault="00CF3950" w:rsidP="00CF3950">
            <w:pPr>
              <w:spacing w:after="0" w:line="240" w:lineRule="auto"/>
              <w:rPr>
                <w:sz w:val="20"/>
              </w:rPr>
            </w:pPr>
            <w:r w:rsidRPr="00CF3950">
              <w:rPr>
                <w:sz w:val="20"/>
              </w:rPr>
              <w:t>SŠ Ludbreg</w:t>
            </w:r>
          </w:p>
        </w:tc>
        <w:tc>
          <w:tcPr>
            <w:tcW w:w="1051" w:type="dxa"/>
            <w:tcBorders>
              <w:top w:val="nil"/>
              <w:left w:val="nil"/>
              <w:bottom w:val="single" w:sz="4" w:space="0" w:color="auto"/>
              <w:right w:val="single" w:sz="4" w:space="0" w:color="auto"/>
            </w:tcBorders>
            <w:vAlign w:val="center"/>
            <w:hideMark/>
          </w:tcPr>
          <w:p w14:paraId="69C95894" w14:textId="77777777" w:rsidR="00CF3950" w:rsidRPr="00CF3950" w:rsidRDefault="00CF3950" w:rsidP="00CF3950">
            <w:pPr>
              <w:spacing w:after="0" w:line="240" w:lineRule="auto"/>
              <w:jc w:val="center"/>
              <w:rPr>
                <w:sz w:val="20"/>
              </w:rPr>
            </w:pPr>
            <w:r w:rsidRPr="00CF3950">
              <w:rPr>
                <w:sz w:val="20"/>
              </w:rPr>
              <w:t>Investicija</w:t>
            </w:r>
          </w:p>
        </w:tc>
        <w:tc>
          <w:tcPr>
            <w:tcW w:w="1151" w:type="dxa"/>
            <w:tcBorders>
              <w:top w:val="nil"/>
              <w:left w:val="nil"/>
              <w:bottom w:val="single" w:sz="4" w:space="0" w:color="auto"/>
              <w:right w:val="single" w:sz="4" w:space="0" w:color="auto"/>
            </w:tcBorders>
            <w:vAlign w:val="center"/>
            <w:hideMark/>
          </w:tcPr>
          <w:p w14:paraId="6C580320" w14:textId="77777777" w:rsidR="00CF3950" w:rsidRPr="00CF3950" w:rsidRDefault="00CF3950" w:rsidP="00CF3950">
            <w:pPr>
              <w:spacing w:after="0" w:line="240" w:lineRule="auto"/>
              <w:jc w:val="center"/>
              <w:rPr>
                <w:sz w:val="20"/>
              </w:rPr>
            </w:pPr>
            <w:r w:rsidRPr="00CF3950">
              <w:rPr>
                <w:sz w:val="20"/>
              </w:rPr>
              <w:t>2018.</w:t>
            </w:r>
          </w:p>
        </w:tc>
        <w:tc>
          <w:tcPr>
            <w:tcW w:w="1367" w:type="dxa"/>
            <w:tcBorders>
              <w:top w:val="nil"/>
              <w:left w:val="nil"/>
              <w:bottom w:val="single" w:sz="4" w:space="0" w:color="auto"/>
              <w:right w:val="single" w:sz="4" w:space="0" w:color="auto"/>
            </w:tcBorders>
            <w:vAlign w:val="center"/>
            <w:hideMark/>
          </w:tcPr>
          <w:p w14:paraId="077CC8E8" w14:textId="77777777" w:rsidR="00CF3950" w:rsidRPr="00CF3950" w:rsidRDefault="00CF3950" w:rsidP="00CF3950">
            <w:pPr>
              <w:spacing w:after="0" w:line="240" w:lineRule="auto"/>
              <w:jc w:val="right"/>
              <w:rPr>
                <w:b/>
                <w:bCs/>
                <w:sz w:val="20"/>
              </w:rPr>
            </w:pPr>
            <w:r w:rsidRPr="00CF3950">
              <w:rPr>
                <w:sz w:val="20"/>
              </w:rPr>
              <w:t>321.852,81</w:t>
            </w:r>
          </w:p>
        </w:tc>
        <w:tc>
          <w:tcPr>
            <w:tcW w:w="1167" w:type="dxa"/>
            <w:tcBorders>
              <w:top w:val="nil"/>
              <w:left w:val="nil"/>
              <w:bottom w:val="single" w:sz="4" w:space="0" w:color="auto"/>
              <w:right w:val="single" w:sz="4" w:space="0" w:color="auto"/>
            </w:tcBorders>
            <w:vAlign w:val="center"/>
            <w:hideMark/>
          </w:tcPr>
          <w:p w14:paraId="59341D82" w14:textId="77777777" w:rsidR="00CF3950" w:rsidRPr="00CF3950" w:rsidRDefault="00CF3950" w:rsidP="00CF3950">
            <w:pPr>
              <w:spacing w:after="0" w:line="240" w:lineRule="auto"/>
              <w:jc w:val="center"/>
              <w:rPr>
                <w:sz w:val="20"/>
              </w:rPr>
            </w:pPr>
            <w:r w:rsidRPr="00CF3950">
              <w:rPr>
                <w:sz w:val="20"/>
              </w:rPr>
              <w:t>30.11.2027.</w:t>
            </w:r>
          </w:p>
        </w:tc>
        <w:tc>
          <w:tcPr>
            <w:tcW w:w="1366" w:type="dxa"/>
            <w:tcBorders>
              <w:top w:val="nil"/>
              <w:left w:val="nil"/>
              <w:bottom w:val="single" w:sz="4" w:space="0" w:color="auto"/>
              <w:right w:val="single" w:sz="4" w:space="0" w:color="auto"/>
            </w:tcBorders>
            <w:vAlign w:val="center"/>
            <w:hideMark/>
          </w:tcPr>
          <w:p w14:paraId="3F5CEB07" w14:textId="77777777" w:rsidR="00CF3950" w:rsidRPr="00CF3950" w:rsidRDefault="00CF3950" w:rsidP="00CF3950">
            <w:pPr>
              <w:spacing w:after="0" w:line="240" w:lineRule="auto"/>
              <w:jc w:val="right"/>
              <w:rPr>
                <w:b/>
                <w:bCs/>
                <w:sz w:val="20"/>
              </w:rPr>
            </w:pPr>
            <w:r w:rsidRPr="00CF3950">
              <w:rPr>
                <w:sz w:val="20"/>
              </w:rPr>
              <w:t>130.752,71</w:t>
            </w:r>
          </w:p>
        </w:tc>
        <w:tc>
          <w:tcPr>
            <w:tcW w:w="1267" w:type="dxa"/>
            <w:tcBorders>
              <w:top w:val="nil"/>
              <w:left w:val="nil"/>
              <w:bottom w:val="single" w:sz="4" w:space="0" w:color="auto"/>
              <w:right w:val="single" w:sz="4" w:space="0" w:color="auto"/>
            </w:tcBorders>
            <w:vAlign w:val="center"/>
            <w:hideMark/>
          </w:tcPr>
          <w:p w14:paraId="6AB14D79" w14:textId="77777777" w:rsidR="00CF3950" w:rsidRPr="00CF3950" w:rsidRDefault="00CF3950" w:rsidP="00CF3950">
            <w:pPr>
              <w:spacing w:after="0" w:line="240" w:lineRule="auto"/>
              <w:jc w:val="right"/>
              <w:rPr>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2EF6044F" w14:textId="77777777" w:rsidR="00CF3950" w:rsidRPr="00CF3950" w:rsidRDefault="00CF3950" w:rsidP="00CF3950">
            <w:pPr>
              <w:spacing w:after="0" w:line="240" w:lineRule="auto"/>
              <w:jc w:val="right"/>
              <w:rPr>
                <w:sz w:val="20"/>
              </w:rPr>
            </w:pPr>
            <w:r w:rsidRPr="00CF3950">
              <w:rPr>
                <w:sz w:val="20"/>
              </w:rPr>
              <w:t>40.231,60</w:t>
            </w:r>
          </w:p>
        </w:tc>
        <w:tc>
          <w:tcPr>
            <w:tcW w:w="1368" w:type="dxa"/>
            <w:tcBorders>
              <w:top w:val="nil"/>
              <w:left w:val="nil"/>
              <w:bottom w:val="single" w:sz="4" w:space="0" w:color="auto"/>
              <w:right w:val="single" w:sz="4" w:space="0" w:color="auto"/>
            </w:tcBorders>
            <w:vAlign w:val="center"/>
          </w:tcPr>
          <w:p w14:paraId="2F100D03" w14:textId="77777777" w:rsidR="00CF3950" w:rsidRPr="00CF3950" w:rsidRDefault="00CF3950" w:rsidP="00CF3950">
            <w:pPr>
              <w:spacing w:after="0" w:line="240" w:lineRule="auto"/>
              <w:jc w:val="right"/>
              <w:rPr>
                <w:sz w:val="20"/>
              </w:rPr>
            </w:pPr>
            <w:r w:rsidRPr="00CF3950">
              <w:rPr>
                <w:sz w:val="20"/>
              </w:rPr>
              <w:t>90.521,11</w:t>
            </w:r>
          </w:p>
        </w:tc>
      </w:tr>
      <w:tr w:rsidR="00CF3950" w:rsidRPr="00CF3950" w14:paraId="7B7AB1A8"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67133D8E" w14:textId="77777777" w:rsidR="00CF3950" w:rsidRPr="00CF3950" w:rsidRDefault="00CF3950" w:rsidP="00CF3950">
            <w:pPr>
              <w:spacing w:after="0" w:line="240" w:lineRule="auto"/>
              <w:jc w:val="center"/>
              <w:rPr>
                <w:sz w:val="20"/>
              </w:rPr>
            </w:pPr>
            <w:r w:rsidRPr="00CF3950">
              <w:rPr>
                <w:sz w:val="20"/>
              </w:rPr>
              <w:t>4.</w:t>
            </w:r>
          </w:p>
        </w:tc>
        <w:tc>
          <w:tcPr>
            <w:tcW w:w="4006" w:type="dxa"/>
            <w:tcBorders>
              <w:top w:val="nil"/>
              <w:left w:val="nil"/>
              <w:bottom w:val="single" w:sz="4" w:space="0" w:color="auto"/>
              <w:right w:val="single" w:sz="4" w:space="0" w:color="auto"/>
            </w:tcBorders>
            <w:vAlign w:val="center"/>
            <w:hideMark/>
          </w:tcPr>
          <w:p w14:paraId="682D62A0" w14:textId="77777777" w:rsidR="00CF3950" w:rsidRPr="00CF3950" w:rsidRDefault="00CF3950" w:rsidP="00CF3950">
            <w:pPr>
              <w:spacing w:after="0" w:line="240" w:lineRule="auto"/>
              <w:rPr>
                <w:sz w:val="20"/>
              </w:rPr>
            </w:pPr>
            <w:r w:rsidRPr="00CF3950">
              <w:rPr>
                <w:sz w:val="20"/>
              </w:rPr>
              <w:t>Dom zdravlja Varaždinske županije</w:t>
            </w:r>
          </w:p>
        </w:tc>
        <w:tc>
          <w:tcPr>
            <w:tcW w:w="1051" w:type="dxa"/>
            <w:tcBorders>
              <w:top w:val="nil"/>
              <w:left w:val="nil"/>
              <w:bottom w:val="single" w:sz="4" w:space="0" w:color="auto"/>
              <w:right w:val="single" w:sz="4" w:space="0" w:color="auto"/>
            </w:tcBorders>
            <w:vAlign w:val="center"/>
            <w:hideMark/>
          </w:tcPr>
          <w:p w14:paraId="302D7F80" w14:textId="77777777" w:rsidR="00CF3950" w:rsidRPr="00CF3950" w:rsidRDefault="00CF3950" w:rsidP="00CF3950">
            <w:pPr>
              <w:spacing w:after="0" w:line="240" w:lineRule="auto"/>
              <w:jc w:val="center"/>
              <w:rPr>
                <w:sz w:val="20"/>
              </w:rPr>
            </w:pPr>
            <w:r w:rsidRPr="00CF3950">
              <w:rPr>
                <w:sz w:val="20"/>
              </w:rPr>
              <w:t>EnU</w:t>
            </w:r>
          </w:p>
        </w:tc>
        <w:tc>
          <w:tcPr>
            <w:tcW w:w="1151" w:type="dxa"/>
            <w:tcBorders>
              <w:top w:val="nil"/>
              <w:left w:val="nil"/>
              <w:bottom w:val="single" w:sz="4" w:space="0" w:color="auto"/>
              <w:right w:val="single" w:sz="4" w:space="0" w:color="auto"/>
            </w:tcBorders>
            <w:vAlign w:val="center"/>
            <w:hideMark/>
          </w:tcPr>
          <w:p w14:paraId="5C811023" w14:textId="77777777" w:rsidR="00CF3950" w:rsidRPr="00CF3950" w:rsidRDefault="00CF3950" w:rsidP="00CF3950">
            <w:pPr>
              <w:spacing w:after="0" w:line="240" w:lineRule="auto"/>
              <w:jc w:val="center"/>
              <w:rPr>
                <w:sz w:val="20"/>
              </w:rPr>
            </w:pPr>
            <w:r w:rsidRPr="00CF3950">
              <w:rPr>
                <w:sz w:val="20"/>
              </w:rPr>
              <w:t>2019.</w:t>
            </w:r>
          </w:p>
        </w:tc>
        <w:tc>
          <w:tcPr>
            <w:tcW w:w="1367" w:type="dxa"/>
            <w:tcBorders>
              <w:top w:val="nil"/>
              <w:left w:val="nil"/>
              <w:bottom w:val="single" w:sz="4" w:space="0" w:color="auto"/>
              <w:right w:val="single" w:sz="4" w:space="0" w:color="auto"/>
            </w:tcBorders>
            <w:vAlign w:val="center"/>
            <w:hideMark/>
          </w:tcPr>
          <w:p w14:paraId="5E550939" w14:textId="77777777" w:rsidR="00CF3950" w:rsidRPr="00CF3950" w:rsidRDefault="00CF3950" w:rsidP="00CF3950">
            <w:pPr>
              <w:spacing w:after="0" w:line="240" w:lineRule="auto"/>
              <w:jc w:val="right"/>
              <w:rPr>
                <w:b/>
                <w:bCs/>
                <w:sz w:val="20"/>
              </w:rPr>
            </w:pPr>
            <w:r w:rsidRPr="00CF3950">
              <w:rPr>
                <w:sz w:val="20"/>
              </w:rPr>
              <w:t>345.079,30</w:t>
            </w:r>
          </w:p>
        </w:tc>
        <w:tc>
          <w:tcPr>
            <w:tcW w:w="1167" w:type="dxa"/>
            <w:tcBorders>
              <w:top w:val="nil"/>
              <w:left w:val="nil"/>
              <w:bottom w:val="single" w:sz="4" w:space="0" w:color="auto"/>
              <w:right w:val="single" w:sz="4" w:space="0" w:color="auto"/>
            </w:tcBorders>
            <w:vAlign w:val="center"/>
            <w:hideMark/>
          </w:tcPr>
          <w:p w14:paraId="7F4FA8DE" w14:textId="77777777" w:rsidR="00CF3950" w:rsidRPr="00CF3950" w:rsidRDefault="00CF3950" w:rsidP="00CF3950">
            <w:pPr>
              <w:spacing w:after="0" w:line="240" w:lineRule="auto"/>
              <w:jc w:val="center"/>
              <w:rPr>
                <w:sz w:val="20"/>
              </w:rPr>
            </w:pPr>
            <w:r w:rsidRPr="00CF3950">
              <w:rPr>
                <w:sz w:val="20"/>
              </w:rPr>
              <w:t>31.01.2032.</w:t>
            </w:r>
          </w:p>
        </w:tc>
        <w:tc>
          <w:tcPr>
            <w:tcW w:w="1366" w:type="dxa"/>
            <w:tcBorders>
              <w:top w:val="nil"/>
              <w:left w:val="nil"/>
              <w:bottom w:val="single" w:sz="4" w:space="0" w:color="auto"/>
              <w:right w:val="single" w:sz="4" w:space="0" w:color="auto"/>
            </w:tcBorders>
            <w:vAlign w:val="center"/>
            <w:hideMark/>
          </w:tcPr>
          <w:p w14:paraId="2E0E52B2" w14:textId="77777777" w:rsidR="00CF3950" w:rsidRPr="00CF3950" w:rsidRDefault="00CF3950" w:rsidP="00CF3950">
            <w:pPr>
              <w:spacing w:after="0" w:line="240" w:lineRule="auto"/>
              <w:jc w:val="right"/>
              <w:rPr>
                <w:b/>
                <w:bCs/>
                <w:sz w:val="20"/>
              </w:rPr>
            </w:pPr>
            <w:r w:rsidRPr="00CF3950">
              <w:rPr>
                <w:sz w:val="20"/>
              </w:rPr>
              <w:t>244.431,19</w:t>
            </w:r>
          </w:p>
        </w:tc>
        <w:tc>
          <w:tcPr>
            <w:tcW w:w="1267" w:type="dxa"/>
            <w:tcBorders>
              <w:top w:val="nil"/>
              <w:left w:val="nil"/>
              <w:bottom w:val="single" w:sz="4" w:space="0" w:color="auto"/>
              <w:right w:val="single" w:sz="4" w:space="0" w:color="auto"/>
            </w:tcBorders>
            <w:vAlign w:val="center"/>
            <w:hideMark/>
          </w:tcPr>
          <w:p w14:paraId="76874EDA" w14:textId="77777777" w:rsidR="00CF3950" w:rsidRPr="00CF3950" w:rsidRDefault="00CF3950" w:rsidP="00CF3950">
            <w:pPr>
              <w:spacing w:after="0" w:line="240" w:lineRule="auto"/>
              <w:jc w:val="right"/>
              <w:rPr>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3FE8F961" w14:textId="77777777" w:rsidR="00CF3950" w:rsidRPr="00CF3950" w:rsidRDefault="00CF3950" w:rsidP="00CF3950">
            <w:pPr>
              <w:spacing w:after="0" w:line="240" w:lineRule="auto"/>
              <w:jc w:val="right"/>
              <w:rPr>
                <w:sz w:val="20"/>
              </w:rPr>
            </w:pPr>
            <w:r w:rsidRPr="00CF3950">
              <w:rPr>
                <w:sz w:val="20"/>
              </w:rPr>
              <w:t>34.507,92</w:t>
            </w:r>
          </w:p>
        </w:tc>
        <w:tc>
          <w:tcPr>
            <w:tcW w:w="1368" w:type="dxa"/>
            <w:tcBorders>
              <w:top w:val="nil"/>
              <w:left w:val="nil"/>
              <w:bottom w:val="single" w:sz="4" w:space="0" w:color="auto"/>
              <w:right w:val="single" w:sz="4" w:space="0" w:color="auto"/>
            </w:tcBorders>
            <w:vAlign w:val="center"/>
          </w:tcPr>
          <w:p w14:paraId="67B3E590" w14:textId="77777777" w:rsidR="00CF3950" w:rsidRPr="00CF3950" w:rsidRDefault="00CF3950" w:rsidP="00CF3950">
            <w:pPr>
              <w:spacing w:after="0" w:line="240" w:lineRule="auto"/>
              <w:jc w:val="right"/>
              <w:rPr>
                <w:sz w:val="20"/>
              </w:rPr>
            </w:pPr>
            <w:r w:rsidRPr="00CF3950">
              <w:rPr>
                <w:sz w:val="20"/>
              </w:rPr>
              <w:t>209.923,27</w:t>
            </w:r>
          </w:p>
        </w:tc>
      </w:tr>
      <w:tr w:rsidR="00CF3950" w:rsidRPr="00CF3950" w14:paraId="38D24AD4"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2CFE6CE6" w14:textId="77777777" w:rsidR="00CF3950" w:rsidRPr="00CF3950" w:rsidRDefault="00CF3950" w:rsidP="00CF3950">
            <w:pPr>
              <w:spacing w:after="0" w:line="240" w:lineRule="auto"/>
              <w:jc w:val="center"/>
              <w:rPr>
                <w:sz w:val="20"/>
              </w:rPr>
            </w:pPr>
            <w:r w:rsidRPr="00CF3950">
              <w:rPr>
                <w:sz w:val="20"/>
              </w:rPr>
              <w:t>5.</w:t>
            </w:r>
          </w:p>
        </w:tc>
        <w:tc>
          <w:tcPr>
            <w:tcW w:w="4006" w:type="dxa"/>
            <w:tcBorders>
              <w:top w:val="nil"/>
              <w:left w:val="nil"/>
              <w:bottom w:val="single" w:sz="4" w:space="0" w:color="auto"/>
              <w:right w:val="single" w:sz="4" w:space="0" w:color="auto"/>
            </w:tcBorders>
            <w:vAlign w:val="center"/>
            <w:hideMark/>
          </w:tcPr>
          <w:p w14:paraId="37A47891" w14:textId="77777777" w:rsidR="00CF3950" w:rsidRPr="00CF3950" w:rsidRDefault="00CF3950" w:rsidP="00CF3950">
            <w:pPr>
              <w:spacing w:after="0" w:line="240" w:lineRule="auto"/>
              <w:rPr>
                <w:sz w:val="20"/>
              </w:rPr>
            </w:pPr>
            <w:r w:rsidRPr="00CF3950">
              <w:rPr>
                <w:sz w:val="20"/>
              </w:rPr>
              <w:t>Specijalna bolnica za med.reh. Vž. Toplice</w:t>
            </w:r>
          </w:p>
        </w:tc>
        <w:tc>
          <w:tcPr>
            <w:tcW w:w="1051" w:type="dxa"/>
            <w:tcBorders>
              <w:top w:val="nil"/>
              <w:left w:val="nil"/>
              <w:bottom w:val="single" w:sz="4" w:space="0" w:color="auto"/>
              <w:right w:val="single" w:sz="4" w:space="0" w:color="auto"/>
            </w:tcBorders>
            <w:vAlign w:val="center"/>
            <w:hideMark/>
          </w:tcPr>
          <w:p w14:paraId="3BB21151" w14:textId="77777777" w:rsidR="00CF3950" w:rsidRPr="00CF3950" w:rsidRDefault="00CF3950" w:rsidP="00CF3950">
            <w:pPr>
              <w:spacing w:after="0" w:line="240" w:lineRule="auto"/>
              <w:jc w:val="center"/>
              <w:rPr>
                <w:sz w:val="20"/>
              </w:rPr>
            </w:pPr>
            <w:r w:rsidRPr="00CF3950">
              <w:rPr>
                <w:sz w:val="20"/>
              </w:rPr>
              <w:t>EnU</w:t>
            </w:r>
          </w:p>
        </w:tc>
        <w:tc>
          <w:tcPr>
            <w:tcW w:w="1151" w:type="dxa"/>
            <w:tcBorders>
              <w:top w:val="nil"/>
              <w:left w:val="nil"/>
              <w:bottom w:val="single" w:sz="4" w:space="0" w:color="auto"/>
              <w:right w:val="single" w:sz="4" w:space="0" w:color="auto"/>
            </w:tcBorders>
            <w:vAlign w:val="center"/>
            <w:hideMark/>
          </w:tcPr>
          <w:p w14:paraId="394F2492" w14:textId="77777777" w:rsidR="00CF3950" w:rsidRPr="00CF3950" w:rsidRDefault="00CF3950" w:rsidP="00CF3950">
            <w:pPr>
              <w:spacing w:after="0" w:line="240" w:lineRule="auto"/>
              <w:jc w:val="center"/>
              <w:rPr>
                <w:sz w:val="20"/>
              </w:rPr>
            </w:pPr>
            <w:r w:rsidRPr="00CF3950">
              <w:rPr>
                <w:sz w:val="20"/>
              </w:rPr>
              <w:t>2019.</w:t>
            </w:r>
          </w:p>
        </w:tc>
        <w:tc>
          <w:tcPr>
            <w:tcW w:w="1367" w:type="dxa"/>
            <w:tcBorders>
              <w:top w:val="nil"/>
              <w:left w:val="nil"/>
              <w:bottom w:val="single" w:sz="4" w:space="0" w:color="auto"/>
              <w:right w:val="single" w:sz="4" w:space="0" w:color="auto"/>
            </w:tcBorders>
            <w:vAlign w:val="center"/>
            <w:hideMark/>
          </w:tcPr>
          <w:p w14:paraId="2C3ACE35" w14:textId="77777777" w:rsidR="00CF3950" w:rsidRPr="00CF3950" w:rsidRDefault="00CF3950" w:rsidP="00CF3950">
            <w:pPr>
              <w:spacing w:after="0" w:line="240" w:lineRule="auto"/>
              <w:jc w:val="right"/>
              <w:rPr>
                <w:b/>
                <w:bCs/>
                <w:sz w:val="20"/>
              </w:rPr>
            </w:pPr>
            <w:r w:rsidRPr="00CF3950">
              <w:rPr>
                <w:sz w:val="20"/>
              </w:rPr>
              <w:t>2.247.214,69</w:t>
            </w:r>
          </w:p>
        </w:tc>
        <w:tc>
          <w:tcPr>
            <w:tcW w:w="1167" w:type="dxa"/>
            <w:tcBorders>
              <w:top w:val="nil"/>
              <w:left w:val="nil"/>
              <w:bottom w:val="single" w:sz="4" w:space="0" w:color="auto"/>
              <w:right w:val="single" w:sz="4" w:space="0" w:color="auto"/>
            </w:tcBorders>
            <w:vAlign w:val="center"/>
            <w:hideMark/>
          </w:tcPr>
          <w:p w14:paraId="67058092" w14:textId="77777777" w:rsidR="00CF3950" w:rsidRPr="00CF3950" w:rsidRDefault="00CF3950" w:rsidP="00CF3950">
            <w:pPr>
              <w:spacing w:after="0" w:line="240" w:lineRule="auto"/>
              <w:jc w:val="center"/>
              <w:rPr>
                <w:sz w:val="20"/>
              </w:rPr>
            </w:pPr>
            <w:r w:rsidRPr="00CF3950">
              <w:rPr>
                <w:sz w:val="20"/>
              </w:rPr>
              <w:t>30.04.2035.</w:t>
            </w:r>
          </w:p>
        </w:tc>
        <w:tc>
          <w:tcPr>
            <w:tcW w:w="1366" w:type="dxa"/>
            <w:tcBorders>
              <w:top w:val="nil"/>
              <w:left w:val="nil"/>
              <w:bottom w:val="single" w:sz="4" w:space="0" w:color="auto"/>
              <w:right w:val="single" w:sz="4" w:space="0" w:color="auto"/>
            </w:tcBorders>
            <w:vAlign w:val="center"/>
            <w:hideMark/>
          </w:tcPr>
          <w:p w14:paraId="59225F84" w14:textId="77777777" w:rsidR="00CF3950" w:rsidRPr="00CF3950" w:rsidRDefault="00CF3950" w:rsidP="00CF3950">
            <w:pPr>
              <w:spacing w:after="0" w:line="240" w:lineRule="auto"/>
              <w:jc w:val="right"/>
              <w:rPr>
                <w:b/>
                <w:bCs/>
                <w:sz w:val="20"/>
              </w:rPr>
            </w:pPr>
            <w:r w:rsidRPr="00CF3950">
              <w:rPr>
                <w:sz w:val="20"/>
              </w:rPr>
              <w:t>1.815.058,00</w:t>
            </w:r>
          </w:p>
        </w:tc>
        <w:tc>
          <w:tcPr>
            <w:tcW w:w="1267" w:type="dxa"/>
            <w:tcBorders>
              <w:top w:val="nil"/>
              <w:left w:val="nil"/>
              <w:bottom w:val="single" w:sz="4" w:space="0" w:color="auto"/>
              <w:right w:val="single" w:sz="4" w:space="0" w:color="auto"/>
            </w:tcBorders>
            <w:vAlign w:val="center"/>
            <w:hideMark/>
          </w:tcPr>
          <w:p w14:paraId="16B73C2C" w14:textId="77777777" w:rsidR="00CF3950" w:rsidRPr="00CF3950" w:rsidRDefault="00CF3950" w:rsidP="00CF3950">
            <w:pPr>
              <w:spacing w:after="0" w:line="240" w:lineRule="auto"/>
              <w:jc w:val="right"/>
              <w:rPr>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0E8C2912" w14:textId="77777777" w:rsidR="00CF3950" w:rsidRPr="00CF3950" w:rsidRDefault="00CF3950" w:rsidP="00CF3950">
            <w:pPr>
              <w:spacing w:after="0" w:line="240" w:lineRule="auto"/>
              <w:jc w:val="right"/>
              <w:rPr>
                <w:sz w:val="20"/>
              </w:rPr>
            </w:pPr>
            <w:r w:rsidRPr="00CF3950">
              <w:rPr>
                <w:sz w:val="20"/>
              </w:rPr>
              <w:t>172.862,68</w:t>
            </w:r>
          </w:p>
        </w:tc>
        <w:tc>
          <w:tcPr>
            <w:tcW w:w="1368" w:type="dxa"/>
            <w:tcBorders>
              <w:top w:val="nil"/>
              <w:left w:val="nil"/>
              <w:bottom w:val="single" w:sz="4" w:space="0" w:color="auto"/>
              <w:right w:val="single" w:sz="4" w:space="0" w:color="auto"/>
            </w:tcBorders>
            <w:vAlign w:val="center"/>
          </w:tcPr>
          <w:p w14:paraId="32105D26" w14:textId="77777777" w:rsidR="00CF3950" w:rsidRPr="00CF3950" w:rsidRDefault="00CF3950" w:rsidP="00CF3950">
            <w:pPr>
              <w:spacing w:after="0" w:line="240" w:lineRule="auto"/>
              <w:jc w:val="right"/>
              <w:rPr>
                <w:sz w:val="20"/>
              </w:rPr>
            </w:pPr>
            <w:r w:rsidRPr="00CF3950">
              <w:rPr>
                <w:sz w:val="20"/>
              </w:rPr>
              <w:t>1.642.195,32</w:t>
            </w:r>
          </w:p>
        </w:tc>
      </w:tr>
      <w:tr w:rsidR="00CF3950" w:rsidRPr="00CF3950" w14:paraId="70F16D3B"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768D808D" w14:textId="77777777" w:rsidR="00CF3950" w:rsidRPr="00CF3950" w:rsidRDefault="00CF3950" w:rsidP="00CF3950">
            <w:pPr>
              <w:spacing w:after="0" w:line="240" w:lineRule="auto"/>
              <w:jc w:val="center"/>
              <w:rPr>
                <w:sz w:val="20"/>
              </w:rPr>
            </w:pPr>
            <w:r w:rsidRPr="00CF3950">
              <w:rPr>
                <w:sz w:val="20"/>
              </w:rPr>
              <w:t>6.</w:t>
            </w:r>
          </w:p>
        </w:tc>
        <w:tc>
          <w:tcPr>
            <w:tcW w:w="4006" w:type="dxa"/>
            <w:tcBorders>
              <w:top w:val="nil"/>
              <w:left w:val="nil"/>
              <w:bottom w:val="single" w:sz="4" w:space="0" w:color="auto"/>
              <w:right w:val="single" w:sz="4" w:space="0" w:color="auto"/>
            </w:tcBorders>
            <w:vAlign w:val="center"/>
            <w:hideMark/>
          </w:tcPr>
          <w:p w14:paraId="2D89A3C0" w14:textId="77777777" w:rsidR="00CF3950" w:rsidRPr="00CF3950" w:rsidRDefault="00CF3950" w:rsidP="00CF3950">
            <w:pPr>
              <w:spacing w:after="0" w:line="240" w:lineRule="auto"/>
              <w:rPr>
                <w:sz w:val="20"/>
              </w:rPr>
            </w:pPr>
            <w:r w:rsidRPr="00CF3950">
              <w:rPr>
                <w:sz w:val="20"/>
              </w:rPr>
              <w:t>Specijalna bolnica za med.reh. Vž. Toplice</w:t>
            </w:r>
          </w:p>
        </w:tc>
        <w:tc>
          <w:tcPr>
            <w:tcW w:w="1051" w:type="dxa"/>
            <w:tcBorders>
              <w:top w:val="nil"/>
              <w:left w:val="nil"/>
              <w:bottom w:val="single" w:sz="4" w:space="0" w:color="auto"/>
              <w:right w:val="single" w:sz="4" w:space="0" w:color="auto"/>
            </w:tcBorders>
            <w:vAlign w:val="center"/>
            <w:hideMark/>
          </w:tcPr>
          <w:p w14:paraId="145BC06A" w14:textId="77777777" w:rsidR="00CF3950" w:rsidRPr="00CF3950" w:rsidRDefault="00CF3950" w:rsidP="00CF3950">
            <w:pPr>
              <w:spacing w:after="0" w:line="240" w:lineRule="auto"/>
              <w:jc w:val="center"/>
              <w:rPr>
                <w:sz w:val="20"/>
              </w:rPr>
            </w:pPr>
            <w:r w:rsidRPr="00CF3950">
              <w:rPr>
                <w:sz w:val="20"/>
              </w:rPr>
              <w:t>EnU</w:t>
            </w:r>
          </w:p>
        </w:tc>
        <w:tc>
          <w:tcPr>
            <w:tcW w:w="1151" w:type="dxa"/>
            <w:tcBorders>
              <w:top w:val="nil"/>
              <w:left w:val="nil"/>
              <w:bottom w:val="single" w:sz="4" w:space="0" w:color="auto"/>
              <w:right w:val="single" w:sz="4" w:space="0" w:color="auto"/>
            </w:tcBorders>
            <w:vAlign w:val="center"/>
            <w:hideMark/>
          </w:tcPr>
          <w:p w14:paraId="1EF156CF" w14:textId="77777777" w:rsidR="00CF3950" w:rsidRPr="00CF3950" w:rsidRDefault="00CF3950" w:rsidP="00CF3950">
            <w:pPr>
              <w:spacing w:after="0" w:line="240" w:lineRule="auto"/>
              <w:jc w:val="center"/>
              <w:rPr>
                <w:sz w:val="20"/>
              </w:rPr>
            </w:pPr>
            <w:r w:rsidRPr="00CF3950">
              <w:rPr>
                <w:sz w:val="20"/>
              </w:rPr>
              <w:t>2019.</w:t>
            </w:r>
          </w:p>
        </w:tc>
        <w:tc>
          <w:tcPr>
            <w:tcW w:w="1367" w:type="dxa"/>
            <w:tcBorders>
              <w:top w:val="nil"/>
              <w:left w:val="nil"/>
              <w:bottom w:val="single" w:sz="4" w:space="0" w:color="auto"/>
              <w:right w:val="single" w:sz="4" w:space="0" w:color="auto"/>
            </w:tcBorders>
            <w:vAlign w:val="center"/>
            <w:hideMark/>
          </w:tcPr>
          <w:p w14:paraId="2B9C14CC" w14:textId="77777777" w:rsidR="00CF3950" w:rsidRPr="00CF3950" w:rsidRDefault="00CF3950" w:rsidP="00CF3950">
            <w:pPr>
              <w:spacing w:after="0" w:line="240" w:lineRule="auto"/>
              <w:jc w:val="right"/>
              <w:rPr>
                <w:b/>
                <w:bCs/>
                <w:sz w:val="20"/>
              </w:rPr>
            </w:pPr>
            <w:r w:rsidRPr="00CF3950">
              <w:rPr>
                <w:sz w:val="20"/>
              </w:rPr>
              <w:t>528.002,34</w:t>
            </w:r>
          </w:p>
        </w:tc>
        <w:tc>
          <w:tcPr>
            <w:tcW w:w="1167" w:type="dxa"/>
            <w:tcBorders>
              <w:top w:val="nil"/>
              <w:left w:val="nil"/>
              <w:bottom w:val="single" w:sz="4" w:space="0" w:color="auto"/>
              <w:right w:val="single" w:sz="4" w:space="0" w:color="auto"/>
            </w:tcBorders>
            <w:vAlign w:val="center"/>
            <w:hideMark/>
          </w:tcPr>
          <w:p w14:paraId="1DD6A888" w14:textId="77777777" w:rsidR="00CF3950" w:rsidRPr="00CF3950" w:rsidRDefault="00CF3950" w:rsidP="00CF3950">
            <w:pPr>
              <w:spacing w:after="0" w:line="240" w:lineRule="auto"/>
              <w:jc w:val="center"/>
              <w:rPr>
                <w:sz w:val="20"/>
              </w:rPr>
            </w:pPr>
            <w:r w:rsidRPr="00CF3950">
              <w:rPr>
                <w:sz w:val="20"/>
              </w:rPr>
              <w:t>30.04.2035.</w:t>
            </w:r>
          </w:p>
        </w:tc>
        <w:tc>
          <w:tcPr>
            <w:tcW w:w="1366" w:type="dxa"/>
            <w:tcBorders>
              <w:top w:val="nil"/>
              <w:left w:val="nil"/>
              <w:bottom w:val="single" w:sz="4" w:space="0" w:color="auto"/>
              <w:right w:val="single" w:sz="4" w:space="0" w:color="auto"/>
            </w:tcBorders>
            <w:vAlign w:val="center"/>
            <w:hideMark/>
          </w:tcPr>
          <w:p w14:paraId="4F0C3BC0" w14:textId="77777777" w:rsidR="00CF3950" w:rsidRPr="00CF3950" w:rsidRDefault="00CF3950" w:rsidP="00CF3950">
            <w:pPr>
              <w:spacing w:after="0" w:line="240" w:lineRule="auto"/>
              <w:jc w:val="right"/>
              <w:rPr>
                <w:b/>
                <w:bCs/>
                <w:sz w:val="20"/>
              </w:rPr>
            </w:pPr>
            <w:r w:rsidRPr="00CF3950">
              <w:rPr>
                <w:sz w:val="20"/>
              </w:rPr>
              <w:t>426.462,77</w:t>
            </w:r>
          </w:p>
        </w:tc>
        <w:tc>
          <w:tcPr>
            <w:tcW w:w="1267" w:type="dxa"/>
            <w:tcBorders>
              <w:top w:val="nil"/>
              <w:left w:val="nil"/>
              <w:bottom w:val="single" w:sz="4" w:space="0" w:color="auto"/>
              <w:right w:val="single" w:sz="4" w:space="0" w:color="auto"/>
            </w:tcBorders>
            <w:vAlign w:val="center"/>
            <w:hideMark/>
          </w:tcPr>
          <w:p w14:paraId="235D267E" w14:textId="77777777" w:rsidR="00CF3950" w:rsidRPr="00CF3950" w:rsidRDefault="00CF3950" w:rsidP="00CF3950">
            <w:pPr>
              <w:spacing w:after="0" w:line="240" w:lineRule="auto"/>
              <w:jc w:val="right"/>
              <w:rPr>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479A7F46" w14:textId="77777777" w:rsidR="00CF3950" w:rsidRPr="00CF3950" w:rsidRDefault="00CF3950" w:rsidP="00CF3950">
            <w:pPr>
              <w:spacing w:after="0" w:line="240" w:lineRule="auto"/>
              <w:jc w:val="right"/>
              <w:rPr>
                <w:sz w:val="20"/>
              </w:rPr>
            </w:pPr>
            <w:r w:rsidRPr="00CF3950">
              <w:rPr>
                <w:sz w:val="20"/>
              </w:rPr>
              <w:t>40.615,56</w:t>
            </w:r>
          </w:p>
        </w:tc>
        <w:tc>
          <w:tcPr>
            <w:tcW w:w="1368" w:type="dxa"/>
            <w:tcBorders>
              <w:top w:val="nil"/>
              <w:left w:val="nil"/>
              <w:bottom w:val="single" w:sz="4" w:space="0" w:color="auto"/>
              <w:right w:val="single" w:sz="4" w:space="0" w:color="auto"/>
            </w:tcBorders>
            <w:vAlign w:val="center"/>
          </w:tcPr>
          <w:p w14:paraId="0D116F8F" w14:textId="77777777" w:rsidR="00CF3950" w:rsidRPr="00CF3950" w:rsidRDefault="00CF3950" w:rsidP="00CF3950">
            <w:pPr>
              <w:spacing w:after="0" w:line="240" w:lineRule="auto"/>
              <w:jc w:val="right"/>
              <w:rPr>
                <w:sz w:val="20"/>
              </w:rPr>
            </w:pPr>
            <w:r w:rsidRPr="00CF3950">
              <w:rPr>
                <w:sz w:val="20"/>
              </w:rPr>
              <w:t>385.847,21</w:t>
            </w:r>
          </w:p>
        </w:tc>
      </w:tr>
      <w:tr w:rsidR="00CF3950" w:rsidRPr="00CF3950" w14:paraId="68282AAC"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78F857AF" w14:textId="77777777" w:rsidR="00CF3950" w:rsidRPr="00CF3950" w:rsidRDefault="00CF3950" w:rsidP="00CF3950">
            <w:pPr>
              <w:spacing w:after="0" w:line="240" w:lineRule="auto"/>
              <w:jc w:val="center"/>
              <w:rPr>
                <w:sz w:val="20"/>
              </w:rPr>
            </w:pPr>
            <w:r w:rsidRPr="00CF3950">
              <w:rPr>
                <w:sz w:val="20"/>
              </w:rPr>
              <w:t>7.</w:t>
            </w:r>
          </w:p>
        </w:tc>
        <w:tc>
          <w:tcPr>
            <w:tcW w:w="4006" w:type="dxa"/>
            <w:tcBorders>
              <w:top w:val="nil"/>
              <w:left w:val="nil"/>
              <w:bottom w:val="single" w:sz="4" w:space="0" w:color="auto"/>
              <w:right w:val="single" w:sz="4" w:space="0" w:color="auto"/>
            </w:tcBorders>
            <w:vAlign w:val="center"/>
            <w:hideMark/>
          </w:tcPr>
          <w:p w14:paraId="6A48BA1A" w14:textId="77777777" w:rsidR="00CF3950" w:rsidRPr="00CF3950" w:rsidRDefault="00CF3950" w:rsidP="00CF3950">
            <w:pPr>
              <w:spacing w:after="0" w:line="240" w:lineRule="auto"/>
              <w:rPr>
                <w:sz w:val="20"/>
              </w:rPr>
            </w:pPr>
            <w:r w:rsidRPr="00CF3950">
              <w:rPr>
                <w:sz w:val="20"/>
              </w:rPr>
              <w:t>Specijalna bolnica za med.reh. Vž. Toplice</w:t>
            </w:r>
          </w:p>
        </w:tc>
        <w:tc>
          <w:tcPr>
            <w:tcW w:w="1051" w:type="dxa"/>
            <w:tcBorders>
              <w:top w:val="nil"/>
              <w:left w:val="nil"/>
              <w:bottom w:val="single" w:sz="4" w:space="0" w:color="auto"/>
              <w:right w:val="single" w:sz="4" w:space="0" w:color="auto"/>
            </w:tcBorders>
            <w:vAlign w:val="center"/>
            <w:hideMark/>
          </w:tcPr>
          <w:p w14:paraId="03185615" w14:textId="77777777" w:rsidR="00CF3950" w:rsidRPr="00CF3950" w:rsidRDefault="00CF3950" w:rsidP="00CF3950">
            <w:pPr>
              <w:spacing w:after="0" w:line="240" w:lineRule="auto"/>
              <w:jc w:val="center"/>
              <w:rPr>
                <w:sz w:val="20"/>
              </w:rPr>
            </w:pPr>
            <w:r w:rsidRPr="00CF3950">
              <w:rPr>
                <w:sz w:val="20"/>
              </w:rPr>
              <w:t>EnU</w:t>
            </w:r>
          </w:p>
        </w:tc>
        <w:tc>
          <w:tcPr>
            <w:tcW w:w="1151" w:type="dxa"/>
            <w:tcBorders>
              <w:top w:val="nil"/>
              <w:left w:val="nil"/>
              <w:bottom w:val="single" w:sz="4" w:space="0" w:color="auto"/>
              <w:right w:val="single" w:sz="4" w:space="0" w:color="auto"/>
            </w:tcBorders>
            <w:vAlign w:val="center"/>
            <w:hideMark/>
          </w:tcPr>
          <w:p w14:paraId="57AB26EA" w14:textId="77777777" w:rsidR="00CF3950" w:rsidRPr="00CF3950" w:rsidRDefault="00CF3950" w:rsidP="00CF3950">
            <w:pPr>
              <w:spacing w:after="0" w:line="240" w:lineRule="auto"/>
              <w:jc w:val="center"/>
              <w:rPr>
                <w:sz w:val="20"/>
              </w:rPr>
            </w:pPr>
            <w:r w:rsidRPr="00CF3950">
              <w:rPr>
                <w:sz w:val="20"/>
              </w:rPr>
              <w:t>2018.</w:t>
            </w:r>
          </w:p>
        </w:tc>
        <w:tc>
          <w:tcPr>
            <w:tcW w:w="1367" w:type="dxa"/>
            <w:tcBorders>
              <w:top w:val="nil"/>
              <w:left w:val="nil"/>
              <w:bottom w:val="single" w:sz="4" w:space="0" w:color="auto"/>
              <w:right w:val="single" w:sz="4" w:space="0" w:color="auto"/>
            </w:tcBorders>
            <w:vAlign w:val="center"/>
            <w:hideMark/>
          </w:tcPr>
          <w:p w14:paraId="5C00BD32" w14:textId="77777777" w:rsidR="00CF3950" w:rsidRPr="00CF3950" w:rsidRDefault="00CF3950" w:rsidP="00CF3950">
            <w:pPr>
              <w:spacing w:after="0" w:line="240" w:lineRule="auto"/>
              <w:jc w:val="right"/>
              <w:rPr>
                <w:b/>
                <w:bCs/>
                <w:sz w:val="20"/>
              </w:rPr>
            </w:pPr>
            <w:r w:rsidRPr="00CF3950">
              <w:rPr>
                <w:sz w:val="20"/>
              </w:rPr>
              <w:t>3.407.120,92</w:t>
            </w:r>
          </w:p>
        </w:tc>
        <w:tc>
          <w:tcPr>
            <w:tcW w:w="1167" w:type="dxa"/>
            <w:tcBorders>
              <w:top w:val="nil"/>
              <w:left w:val="nil"/>
              <w:bottom w:val="single" w:sz="4" w:space="0" w:color="auto"/>
              <w:right w:val="single" w:sz="4" w:space="0" w:color="auto"/>
            </w:tcBorders>
            <w:vAlign w:val="center"/>
            <w:hideMark/>
          </w:tcPr>
          <w:p w14:paraId="2366FE02" w14:textId="77777777" w:rsidR="00CF3950" w:rsidRPr="00CF3950" w:rsidRDefault="00CF3950" w:rsidP="00CF3950">
            <w:pPr>
              <w:spacing w:after="0" w:line="240" w:lineRule="auto"/>
              <w:jc w:val="center"/>
              <w:rPr>
                <w:sz w:val="20"/>
              </w:rPr>
            </w:pPr>
            <w:r w:rsidRPr="00CF3950">
              <w:rPr>
                <w:sz w:val="20"/>
              </w:rPr>
              <w:t>31.03.2035.</w:t>
            </w:r>
          </w:p>
        </w:tc>
        <w:tc>
          <w:tcPr>
            <w:tcW w:w="1366" w:type="dxa"/>
            <w:tcBorders>
              <w:top w:val="nil"/>
              <w:left w:val="nil"/>
              <w:bottom w:val="single" w:sz="4" w:space="0" w:color="auto"/>
              <w:right w:val="single" w:sz="4" w:space="0" w:color="auto"/>
            </w:tcBorders>
            <w:vAlign w:val="center"/>
            <w:hideMark/>
          </w:tcPr>
          <w:p w14:paraId="412B5A35" w14:textId="77777777" w:rsidR="00CF3950" w:rsidRPr="00CF3950" w:rsidRDefault="00CF3950" w:rsidP="00CF3950">
            <w:pPr>
              <w:spacing w:after="0" w:line="240" w:lineRule="auto"/>
              <w:jc w:val="right"/>
              <w:rPr>
                <w:b/>
                <w:bCs/>
                <w:sz w:val="20"/>
              </w:rPr>
            </w:pPr>
            <w:r w:rsidRPr="00CF3950">
              <w:rPr>
                <w:sz w:val="20"/>
              </w:rPr>
              <w:t>2.686.383,77</w:t>
            </w:r>
          </w:p>
        </w:tc>
        <w:tc>
          <w:tcPr>
            <w:tcW w:w="1267" w:type="dxa"/>
            <w:tcBorders>
              <w:top w:val="nil"/>
              <w:left w:val="nil"/>
              <w:bottom w:val="single" w:sz="4" w:space="0" w:color="auto"/>
              <w:right w:val="single" w:sz="4" w:space="0" w:color="auto"/>
            </w:tcBorders>
            <w:vAlign w:val="center"/>
            <w:hideMark/>
          </w:tcPr>
          <w:p w14:paraId="37308809" w14:textId="77777777" w:rsidR="00CF3950" w:rsidRPr="00CF3950" w:rsidRDefault="00CF3950" w:rsidP="00CF3950">
            <w:pPr>
              <w:spacing w:after="0" w:line="240" w:lineRule="auto"/>
              <w:jc w:val="right"/>
              <w:rPr>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5BDF8082" w14:textId="77777777" w:rsidR="00CF3950" w:rsidRPr="00CF3950" w:rsidRDefault="00CF3950" w:rsidP="00CF3950">
            <w:pPr>
              <w:spacing w:after="0" w:line="240" w:lineRule="auto"/>
              <w:jc w:val="right"/>
              <w:rPr>
                <w:sz w:val="20"/>
              </w:rPr>
            </w:pPr>
            <w:r w:rsidRPr="00CF3950">
              <w:rPr>
                <w:sz w:val="20"/>
              </w:rPr>
              <w:t>262.086,24</w:t>
            </w:r>
          </w:p>
        </w:tc>
        <w:tc>
          <w:tcPr>
            <w:tcW w:w="1368" w:type="dxa"/>
            <w:tcBorders>
              <w:top w:val="nil"/>
              <w:left w:val="nil"/>
              <w:bottom w:val="single" w:sz="4" w:space="0" w:color="auto"/>
              <w:right w:val="single" w:sz="4" w:space="0" w:color="auto"/>
            </w:tcBorders>
            <w:vAlign w:val="center"/>
          </w:tcPr>
          <w:p w14:paraId="2851E0C2" w14:textId="77777777" w:rsidR="00CF3950" w:rsidRPr="00CF3950" w:rsidRDefault="00CF3950" w:rsidP="00CF3950">
            <w:pPr>
              <w:spacing w:after="0" w:line="240" w:lineRule="auto"/>
              <w:jc w:val="right"/>
              <w:rPr>
                <w:sz w:val="20"/>
              </w:rPr>
            </w:pPr>
            <w:r w:rsidRPr="00CF3950">
              <w:rPr>
                <w:sz w:val="20"/>
              </w:rPr>
              <w:t>2.424.297,53</w:t>
            </w:r>
          </w:p>
        </w:tc>
      </w:tr>
      <w:tr w:rsidR="00CF3950" w:rsidRPr="00CF3950" w14:paraId="46F89B87"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67F9EB2A" w14:textId="77777777" w:rsidR="00CF3950" w:rsidRPr="00CF3950" w:rsidRDefault="00CF3950" w:rsidP="00CF3950">
            <w:pPr>
              <w:spacing w:after="0" w:line="240" w:lineRule="auto"/>
              <w:jc w:val="center"/>
              <w:rPr>
                <w:sz w:val="20"/>
              </w:rPr>
            </w:pPr>
            <w:r w:rsidRPr="00CF3950">
              <w:rPr>
                <w:sz w:val="20"/>
              </w:rPr>
              <w:t>8.</w:t>
            </w:r>
          </w:p>
        </w:tc>
        <w:tc>
          <w:tcPr>
            <w:tcW w:w="4006" w:type="dxa"/>
            <w:tcBorders>
              <w:top w:val="nil"/>
              <w:left w:val="nil"/>
              <w:bottom w:val="single" w:sz="4" w:space="0" w:color="auto"/>
              <w:right w:val="single" w:sz="4" w:space="0" w:color="auto"/>
            </w:tcBorders>
            <w:vAlign w:val="center"/>
            <w:hideMark/>
          </w:tcPr>
          <w:p w14:paraId="79BF8C8F" w14:textId="77777777" w:rsidR="00CF3950" w:rsidRPr="00CF3950" w:rsidRDefault="00CF3950" w:rsidP="00CF3950">
            <w:pPr>
              <w:spacing w:after="0" w:line="240" w:lineRule="auto"/>
              <w:rPr>
                <w:sz w:val="20"/>
              </w:rPr>
            </w:pPr>
            <w:r w:rsidRPr="00CF3950">
              <w:rPr>
                <w:sz w:val="20"/>
              </w:rPr>
              <w:t>Specijalna bolnica za med.reh. Vž. Toplice</w:t>
            </w:r>
          </w:p>
        </w:tc>
        <w:tc>
          <w:tcPr>
            <w:tcW w:w="1051" w:type="dxa"/>
            <w:tcBorders>
              <w:top w:val="nil"/>
              <w:left w:val="nil"/>
              <w:bottom w:val="single" w:sz="4" w:space="0" w:color="auto"/>
              <w:right w:val="single" w:sz="4" w:space="0" w:color="auto"/>
            </w:tcBorders>
            <w:vAlign w:val="center"/>
            <w:hideMark/>
          </w:tcPr>
          <w:p w14:paraId="44805624" w14:textId="77777777" w:rsidR="00CF3950" w:rsidRPr="00CF3950" w:rsidRDefault="00CF3950" w:rsidP="00CF3950">
            <w:pPr>
              <w:spacing w:after="0" w:line="240" w:lineRule="auto"/>
              <w:jc w:val="center"/>
              <w:rPr>
                <w:sz w:val="20"/>
              </w:rPr>
            </w:pPr>
            <w:r w:rsidRPr="00CF3950">
              <w:rPr>
                <w:sz w:val="20"/>
              </w:rPr>
              <w:t>EnU</w:t>
            </w:r>
          </w:p>
        </w:tc>
        <w:tc>
          <w:tcPr>
            <w:tcW w:w="1151" w:type="dxa"/>
            <w:tcBorders>
              <w:top w:val="nil"/>
              <w:left w:val="nil"/>
              <w:bottom w:val="single" w:sz="4" w:space="0" w:color="auto"/>
              <w:right w:val="single" w:sz="4" w:space="0" w:color="auto"/>
            </w:tcBorders>
            <w:vAlign w:val="center"/>
            <w:hideMark/>
          </w:tcPr>
          <w:p w14:paraId="0A75773A" w14:textId="77777777" w:rsidR="00CF3950" w:rsidRPr="00CF3950" w:rsidRDefault="00CF3950" w:rsidP="00CF3950">
            <w:pPr>
              <w:spacing w:after="0" w:line="240" w:lineRule="auto"/>
              <w:jc w:val="center"/>
              <w:rPr>
                <w:sz w:val="20"/>
              </w:rPr>
            </w:pPr>
            <w:r w:rsidRPr="00CF3950">
              <w:rPr>
                <w:sz w:val="20"/>
              </w:rPr>
              <w:t>2019.</w:t>
            </w:r>
          </w:p>
        </w:tc>
        <w:tc>
          <w:tcPr>
            <w:tcW w:w="1367" w:type="dxa"/>
            <w:tcBorders>
              <w:top w:val="nil"/>
              <w:left w:val="nil"/>
              <w:bottom w:val="single" w:sz="4" w:space="0" w:color="auto"/>
              <w:right w:val="single" w:sz="4" w:space="0" w:color="auto"/>
            </w:tcBorders>
            <w:vAlign w:val="center"/>
            <w:hideMark/>
          </w:tcPr>
          <w:p w14:paraId="576B9EDF" w14:textId="77777777" w:rsidR="00CF3950" w:rsidRPr="00CF3950" w:rsidRDefault="00CF3950" w:rsidP="00CF3950">
            <w:pPr>
              <w:spacing w:after="0" w:line="240" w:lineRule="auto"/>
              <w:jc w:val="right"/>
              <w:rPr>
                <w:b/>
                <w:bCs/>
                <w:sz w:val="20"/>
              </w:rPr>
            </w:pPr>
            <w:r w:rsidRPr="00CF3950">
              <w:rPr>
                <w:sz w:val="20"/>
              </w:rPr>
              <w:t>1.327.228,09</w:t>
            </w:r>
          </w:p>
        </w:tc>
        <w:tc>
          <w:tcPr>
            <w:tcW w:w="1167" w:type="dxa"/>
            <w:tcBorders>
              <w:top w:val="nil"/>
              <w:left w:val="nil"/>
              <w:bottom w:val="single" w:sz="4" w:space="0" w:color="auto"/>
              <w:right w:val="single" w:sz="4" w:space="0" w:color="auto"/>
            </w:tcBorders>
            <w:vAlign w:val="center"/>
            <w:hideMark/>
          </w:tcPr>
          <w:p w14:paraId="56BAB0B2" w14:textId="77777777" w:rsidR="00CF3950" w:rsidRPr="00CF3950" w:rsidRDefault="00CF3950" w:rsidP="00CF3950">
            <w:pPr>
              <w:spacing w:after="0" w:line="240" w:lineRule="auto"/>
              <w:jc w:val="center"/>
              <w:rPr>
                <w:sz w:val="20"/>
              </w:rPr>
            </w:pPr>
            <w:r w:rsidRPr="00CF3950">
              <w:rPr>
                <w:sz w:val="20"/>
              </w:rPr>
              <w:t>31.12.2034.</w:t>
            </w:r>
          </w:p>
        </w:tc>
        <w:tc>
          <w:tcPr>
            <w:tcW w:w="1366" w:type="dxa"/>
            <w:tcBorders>
              <w:top w:val="nil"/>
              <w:left w:val="nil"/>
              <w:bottom w:val="single" w:sz="4" w:space="0" w:color="auto"/>
              <w:right w:val="single" w:sz="4" w:space="0" w:color="auto"/>
            </w:tcBorders>
            <w:vAlign w:val="center"/>
            <w:hideMark/>
          </w:tcPr>
          <w:p w14:paraId="531974C7" w14:textId="77777777" w:rsidR="00CF3950" w:rsidRPr="00CF3950" w:rsidRDefault="00CF3950" w:rsidP="00CF3950">
            <w:pPr>
              <w:spacing w:after="0" w:line="240" w:lineRule="auto"/>
              <w:jc w:val="right"/>
              <w:rPr>
                <w:b/>
                <w:bCs/>
                <w:sz w:val="20"/>
              </w:rPr>
            </w:pPr>
            <w:r w:rsidRPr="00CF3950">
              <w:rPr>
                <w:sz w:val="20"/>
              </w:rPr>
              <w:t>1.020.944,04</w:t>
            </w:r>
          </w:p>
        </w:tc>
        <w:tc>
          <w:tcPr>
            <w:tcW w:w="1267" w:type="dxa"/>
            <w:tcBorders>
              <w:top w:val="nil"/>
              <w:left w:val="nil"/>
              <w:bottom w:val="single" w:sz="4" w:space="0" w:color="auto"/>
              <w:right w:val="single" w:sz="4" w:space="0" w:color="auto"/>
            </w:tcBorders>
            <w:vAlign w:val="center"/>
            <w:hideMark/>
          </w:tcPr>
          <w:p w14:paraId="12A1E783" w14:textId="77777777" w:rsidR="00CF3950" w:rsidRPr="00CF3950" w:rsidRDefault="00CF3950" w:rsidP="00CF3950">
            <w:pPr>
              <w:spacing w:after="0" w:line="240" w:lineRule="auto"/>
              <w:jc w:val="right"/>
              <w:rPr>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683B51AC" w14:textId="77777777" w:rsidR="00CF3950" w:rsidRPr="00CF3950" w:rsidRDefault="00CF3950" w:rsidP="00CF3950">
            <w:pPr>
              <w:spacing w:after="0" w:line="240" w:lineRule="auto"/>
              <w:jc w:val="right"/>
              <w:rPr>
                <w:sz w:val="20"/>
              </w:rPr>
            </w:pPr>
            <w:r w:rsidRPr="00CF3950">
              <w:rPr>
                <w:sz w:val="20"/>
              </w:rPr>
              <w:t>102.094,48</w:t>
            </w:r>
          </w:p>
        </w:tc>
        <w:tc>
          <w:tcPr>
            <w:tcW w:w="1368" w:type="dxa"/>
            <w:tcBorders>
              <w:top w:val="nil"/>
              <w:left w:val="nil"/>
              <w:bottom w:val="single" w:sz="4" w:space="0" w:color="auto"/>
              <w:right w:val="single" w:sz="4" w:space="0" w:color="auto"/>
            </w:tcBorders>
            <w:vAlign w:val="center"/>
          </w:tcPr>
          <w:p w14:paraId="46B91F75" w14:textId="77777777" w:rsidR="00CF3950" w:rsidRPr="00CF3950" w:rsidRDefault="00CF3950" w:rsidP="00CF3950">
            <w:pPr>
              <w:spacing w:after="0" w:line="240" w:lineRule="auto"/>
              <w:jc w:val="right"/>
              <w:rPr>
                <w:sz w:val="20"/>
              </w:rPr>
            </w:pPr>
            <w:r w:rsidRPr="00CF3950">
              <w:rPr>
                <w:sz w:val="20"/>
              </w:rPr>
              <w:t>918.849,56</w:t>
            </w:r>
          </w:p>
        </w:tc>
      </w:tr>
      <w:tr w:rsidR="00CF3950" w:rsidRPr="00CF3950" w14:paraId="2D296482"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4A736395" w14:textId="77777777" w:rsidR="00CF3950" w:rsidRPr="00CF3950" w:rsidRDefault="00CF3950" w:rsidP="00CF3950">
            <w:pPr>
              <w:spacing w:after="0" w:line="240" w:lineRule="auto"/>
              <w:jc w:val="center"/>
              <w:rPr>
                <w:sz w:val="20"/>
              </w:rPr>
            </w:pPr>
            <w:r w:rsidRPr="00CF3950">
              <w:rPr>
                <w:sz w:val="20"/>
              </w:rPr>
              <w:t>9.</w:t>
            </w:r>
          </w:p>
        </w:tc>
        <w:tc>
          <w:tcPr>
            <w:tcW w:w="4006" w:type="dxa"/>
            <w:tcBorders>
              <w:top w:val="nil"/>
              <w:left w:val="nil"/>
              <w:bottom w:val="single" w:sz="4" w:space="0" w:color="auto"/>
              <w:right w:val="single" w:sz="4" w:space="0" w:color="auto"/>
            </w:tcBorders>
            <w:vAlign w:val="center"/>
            <w:hideMark/>
          </w:tcPr>
          <w:p w14:paraId="47C0274A" w14:textId="77777777" w:rsidR="00CF3950" w:rsidRPr="00CF3950" w:rsidRDefault="00CF3950" w:rsidP="00CF3950">
            <w:pPr>
              <w:spacing w:after="0" w:line="240" w:lineRule="auto"/>
              <w:rPr>
                <w:sz w:val="20"/>
              </w:rPr>
            </w:pPr>
            <w:r w:rsidRPr="00CF3950">
              <w:rPr>
                <w:sz w:val="20"/>
              </w:rPr>
              <w:t>Specijalna bolnica za med.reh. Vž. Toplice</w:t>
            </w:r>
          </w:p>
        </w:tc>
        <w:tc>
          <w:tcPr>
            <w:tcW w:w="1051" w:type="dxa"/>
            <w:tcBorders>
              <w:top w:val="nil"/>
              <w:left w:val="nil"/>
              <w:bottom w:val="single" w:sz="4" w:space="0" w:color="auto"/>
              <w:right w:val="single" w:sz="4" w:space="0" w:color="auto"/>
            </w:tcBorders>
            <w:vAlign w:val="center"/>
            <w:hideMark/>
          </w:tcPr>
          <w:p w14:paraId="31B02BC2" w14:textId="77777777" w:rsidR="00CF3950" w:rsidRPr="00CF3950" w:rsidRDefault="00CF3950" w:rsidP="00CF3950">
            <w:pPr>
              <w:spacing w:after="0" w:line="240" w:lineRule="auto"/>
              <w:jc w:val="center"/>
              <w:rPr>
                <w:sz w:val="20"/>
              </w:rPr>
            </w:pPr>
            <w:r w:rsidRPr="00CF3950">
              <w:rPr>
                <w:sz w:val="20"/>
              </w:rPr>
              <w:t>EnU</w:t>
            </w:r>
          </w:p>
        </w:tc>
        <w:tc>
          <w:tcPr>
            <w:tcW w:w="1151" w:type="dxa"/>
            <w:tcBorders>
              <w:top w:val="nil"/>
              <w:left w:val="nil"/>
              <w:bottom w:val="single" w:sz="4" w:space="0" w:color="auto"/>
              <w:right w:val="single" w:sz="4" w:space="0" w:color="auto"/>
            </w:tcBorders>
            <w:vAlign w:val="center"/>
            <w:hideMark/>
          </w:tcPr>
          <w:p w14:paraId="4E8B7E34" w14:textId="77777777" w:rsidR="00CF3950" w:rsidRPr="00CF3950" w:rsidRDefault="00CF3950" w:rsidP="00CF3950">
            <w:pPr>
              <w:spacing w:after="0" w:line="240" w:lineRule="auto"/>
              <w:jc w:val="center"/>
              <w:rPr>
                <w:sz w:val="20"/>
              </w:rPr>
            </w:pPr>
            <w:r w:rsidRPr="00CF3950">
              <w:rPr>
                <w:sz w:val="20"/>
              </w:rPr>
              <w:t>2020.</w:t>
            </w:r>
          </w:p>
        </w:tc>
        <w:tc>
          <w:tcPr>
            <w:tcW w:w="1367" w:type="dxa"/>
            <w:tcBorders>
              <w:top w:val="nil"/>
              <w:left w:val="nil"/>
              <w:bottom w:val="single" w:sz="4" w:space="0" w:color="auto"/>
              <w:right w:val="single" w:sz="4" w:space="0" w:color="auto"/>
            </w:tcBorders>
            <w:vAlign w:val="center"/>
            <w:hideMark/>
          </w:tcPr>
          <w:p w14:paraId="58756ABA" w14:textId="77777777" w:rsidR="00CF3950" w:rsidRPr="00CF3950" w:rsidRDefault="00CF3950" w:rsidP="00CF3950">
            <w:pPr>
              <w:spacing w:after="0" w:line="240" w:lineRule="auto"/>
              <w:jc w:val="right"/>
              <w:rPr>
                <w:b/>
                <w:bCs/>
                <w:sz w:val="20"/>
              </w:rPr>
            </w:pPr>
            <w:r w:rsidRPr="00CF3950">
              <w:rPr>
                <w:sz w:val="20"/>
              </w:rPr>
              <w:t>2.654.452,70</w:t>
            </w:r>
          </w:p>
        </w:tc>
        <w:tc>
          <w:tcPr>
            <w:tcW w:w="1167" w:type="dxa"/>
            <w:tcBorders>
              <w:top w:val="nil"/>
              <w:left w:val="nil"/>
              <w:bottom w:val="single" w:sz="4" w:space="0" w:color="auto"/>
              <w:right w:val="single" w:sz="4" w:space="0" w:color="auto"/>
            </w:tcBorders>
            <w:vAlign w:val="center"/>
            <w:hideMark/>
          </w:tcPr>
          <w:p w14:paraId="2B8C599B" w14:textId="77777777" w:rsidR="00CF3950" w:rsidRPr="00CF3950" w:rsidRDefault="00CF3950" w:rsidP="00CF3950">
            <w:pPr>
              <w:spacing w:after="0" w:line="240" w:lineRule="auto"/>
              <w:jc w:val="center"/>
              <w:rPr>
                <w:sz w:val="20"/>
              </w:rPr>
            </w:pPr>
            <w:r w:rsidRPr="00CF3950">
              <w:rPr>
                <w:sz w:val="20"/>
              </w:rPr>
              <w:t>30.04.2036.</w:t>
            </w:r>
          </w:p>
        </w:tc>
        <w:tc>
          <w:tcPr>
            <w:tcW w:w="1366" w:type="dxa"/>
            <w:tcBorders>
              <w:top w:val="nil"/>
              <w:left w:val="nil"/>
              <w:bottom w:val="single" w:sz="4" w:space="0" w:color="auto"/>
              <w:right w:val="single" w:sz="4" w:space="0" w:color="auto"/>
            </w:tcBorders>
            <w:vAlign w:val="center"/>
            <w:hideMark/>
          </w:tcPr>
          <w:p w14:paraId="425668B3" w14:textId="77777777" w:rsidR="00CF3950" w:rsidRPr="00CF3950" w:rsidRDefault="00CF3950" w:rsidP="00CF3950">
            <w:pPr>
              <w:spacing w:after="0" w:line="240" w:lineRule="auto"/>
              <w:jc w:val="right"/>
              <w:rPr>
                <w:b/>
                <w:bCs/>
                <w:sz w:val="20"/>
              </w:rPr>
            </w:pPr>
            <w:r w:rsidRPr="00CF3950">
              <w:rPr>
                <w:sz w:val="20"/>
              </w:rPr>
              <w:t>2.348.169,32</w:t>
            </w:r>
          </w:p>
        </w:tc>
        <w:tc>
          <w:tcPr>
            <w:tcW w:w="1267" w:type="dxa"/>
            <w:tcBorders>
              <w:top w:val="nil"/>
              <w:left w:val="nil"/>
              <w:bottom w:val="single" w:sz="4" w:space="0" w:color="auto"/>
              <w:right w:val="single" w:sz="4" w:space="0" w:color="auto"/>
            </w:tcBorders>
            <w:vAlign w:val="center"/>
            <w:hideMark/>
          </w:tcPr>
          <w:p w14:paraId="07FB6942" w14:textId="77777777" w:rsidR="00CF3950" w:rsidRPr="00CF3950" w:rsidRDefault="00CF3950" w:rsidP="00CF3950">
            <w:pPr>
              <w:spacing w:after="0" w:line="240" w:lineRule="auto"/>
              <w:jc w:val="right"/>
              <w:rPr>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5301AE5D" w14:textId="77777777" w:rsidR="00CF3950" w:rsidRPr="00CF3950" w:rsidRDefault="00CF3950" w:rsidP="00CF3950">
            <w:pPr>
              <w:spacing w:after="0" w:line="240" w:lineRule="auto"/>
              <w:jc w:val="right"/>
              <w:rPr>
                <w:sz w:val="20"/>
              </w:rPr>
            </w:pPr>
            <w:r w:rsidRPr="00CF3950">
              <w:rPr>
                <w:sz w:val="20"/>
              </w:rPr>
              <w:t>204.188,92</w:t>
            </w:r>
          </w:p>
        </w:tc>
        <w:tc>
          <w:tcPr>
            <w:tcW w:w="1368" w:type="dxa"/>
            <w:tcBorders>
              <w:top w:val="nil"/>
              <w:left w:val="nil"/>
              <w:bottom w:val="single" w:sz="4" w:space="0" w:color="auto"/>
              <w:right w:val="single" w:sz="4" w:space="0" w:color="auto"/>
            </w:tcBorders>
            <w:vAlign w:val="center"/>
          </w:tcPr>
          <w:p w14:paraId="028B1821" w14:textId="77777777" w:rsidR="00CF3950" w:rsidRPr="00CF3950" w:rsidRDefault="00CF3950" w:rsidP="00CF3950">
            <w:pPr>
              <w:spacing w:after="0" w:line="240" w:lineRule="auto"/>
              <w:jc w:val="right"/>
              <w:rPr>
                <w:sz w:val="20"/>
              </w:rPr>
            </w:pPr>
            <w:r w:rsidRPr="00CF3950">
              <w:rPr>
                <w:sz w:val="20"/>
              </w:rPr>
              <w:t>2.143.980,40</w:t>
            </w:r>
          </w:p>
        </w:tc>
      </w:tr>
      <w:tr w:rsidR="00CF3950" w:rsidRPr="00CF3950" w14:paraId="033D4C54"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2801A3C0" w14:textId="77777777" w:rsidR="00CF3950" w:rsidRPr="00CF3950" w:rsidRDefault="00CF3950" w:rsidP="00CF3950">
            <w:pPr>
              <w:spacing w:after="0" w:line="240" w:lineRule="auto"/>
              <w:jc w:val="center"/>
              <w:rPr>
                <w:sz w:val="20"/>
              </w:rPr>
            </w:pPr>
            <w:r w:rsidRPr="00CF3950">
              <w:rPr>
                <w:sz w:val="20"/>
              </w:rPr>
              <w:t>10.</w:t>
            </w:r>
          </w:p>
        </w:tc>
        <w:tc>
          <w:tcPr>
            <w:tcW w:w="4006" w:type="dxa"/>
            <w:tcBorders>
              <w:top w:val="nil"/>
              <w:left w:val="nil"/>
              <w:bottom w:val="single" w:sz="4" w:space="0" w:color="auto"/>
              <w:right w:val="single" w:sz="4" w:space="0" w:color="auto"/>
            </w:tcBorders>
            <w:vAlign w:val="center"/>
            <w:hideMark/>
          </w:tcPr>
          <w:p w14:paraId="61F3C308" w14:textId="77777777" w:rsidR="00CF3950" w:rsidRPr="00CF3950" w:rsidRDefault="00CF3950" w:rsidP="00CF3950">
            <w:pPr>
              <w:spacing w:after="0" w:line="240" w:lineRule="auto"/>
              <w:rPr>
                <w:sz w:val="20"/>
              </w:rPr>
            </w:pPr>
            <w:r w:rsidRPr="00CF3950">
              <w:rPr>
                <w:sz w:val="20"/>
              </w:rPr>
              <w:t>Specijalna bolnica za med.reh. Vž. Toplice</w:t>
            </w:r>
          </w:p>
        </w:tc>
        <w:tc>
          <w:tcPr>
            <w:tcW w:w="1051" w:type="dxa"/>
            <w:tcBorders>
              <w:top w:val="nil"/>
              <w:left w:val="nil"/>
              <w:bottom w:val="single" w:sz="4" w:space="0" w:color="auto"/>
              <w:right w:val="single" w:sz="4" w:space="0" w:color="auto"/>
            </w:tcBorders>
            <w:vAlign w:val="center"/>
            <w:hideMark/>
          </w:tcPr>
          <w:p w14:paraId="5F8DF248" w14:textId="77777777" w:rsidR="00CF3950" w:rsidRPr="00CF3950" w:rsidRDefault="00CF3950" w:rsidP="00CF3950">
            <w:pPr>
              <w:spacing w:after="0" w:line="240" w:lineRule="auto"/>
              <w:jc w:val="center"/>
              <w:rPr>
                <w:sz w:val="20"/>
              </w:rPr>
            </w:pPr>
            <w:r w:rsidRPr="00CF3950">
              <w:rPr>
                <w:sz w:val="20"/>
              </w:rPr>
              <w:t>Investicija</w:t>
            </w:r>
          </w:p>
        </w:tc>
        <w:tc>
          <w:tcPr>
            <w:tcW w:w="1151" w:type="dxa"/>
            <w:tcBorders>
              <w:top w:val="nil"/>
              <w:left w:val="nil"/>
              <w:bottom w:val="single" w:sz="4" w:space="0" w:color="auto"/>
              <w:right w:val="single" w:sz="4" w:space="0" w:color="auto"/>
            </w:tcBorders>
            <w:vAlign w:val="center"/>
            <w:hideMark/>
          </w:tcPr>
          <w:p w14:paraId="63948EF8" w14:textId="77777777" w:rsidR="00CF3950" w:rsidRPr="00CF3950" w:rsidRDefault="00CF3950" w:rsidP="00CF3950">
            <w:pPr>
              <w:spacing w:after="0" w:line="240" w:lineRule="auto"/>
              <w:jc w:val="center"/>
              <w:rPr>
                <w:sz w:val="20"/>
              </w:rPr>
            </w:pPr>
            <w:r w:rsidRPr="00CF3950">
              <w:rPr>
                <w:sz w:val="20"/>
              </w:rPr>
              <w:t>2024.</w:t>
            </w:r>
          </w:p>
        </w:tc>
        <w:tc>
          <w:tcPr>
            <w:tcW w:w="1367" w:type="dxa"/>
            <w:tcBorders>
              <w:top w:val="nil"/>
              <w:left w:val="nil"/>
              <w:bottom w:val="single" w:sz="4" w:space="0" w:color="auto"/>
              <w:right w:val="single" w:sz="4" w:space="0" w:color="auto"/>
            </w:tcBorders>
            <w:vAlign w:val="center"/>
            <w:hideMark/>
          </w:tcPr>
          <w:p w14:paraId="553D9FA0" w14:textId="77777777" w:rsidR="00CF3950" w:rsidRPr="00CF3950" w:rsidRDefault="00CF3950" w:rsidP="00CF3950">
            <w:pPr>
              <w:spacing w:after="0" w:line="240" w:lineRule="auto"/>
              <w:jc w:val="right"/>
              <w:rPr>
                <w:b/>
                <w:bCs/>
                <w:sz w:val="20"/>
              </w:rPr>
            </w:pPr>
            <w:r w:rsidRPr="00CF3950">
              <w:rPr>
                <w:sz w:val="20"/>
              </w:rPr>
              <w:t>5.000.000,00</w:t>
            </w:r>
          </w:p>
        </w:tc>
        <w:tc>
          <w:tcPr>
            <w:tcW w:w="1167" w:type="dxa"/>
            <w:tcBorders>
              <w:top w:val="nil"/>
              <w:left w:val="nil"/>
              <w:bottom w:val="single" w:sz="4" w:space="0" w:color="auto"/>
              <w:right w:val="single" w:sz="4" w:space="0" w:color="auto"/>
            </w:tcBorders>
            <w:vAlign w:val="center"/>
            <w:hideMark/>
          </w:tcPr>
          <w:p w14:paraId="3821ADAB" w14:textId="77777777" w:rsidR="00CF3950" w:rsidRPr="00CF3950" w:rsidRDefault="00CF3950" w:rsidP="00CF3950">
            <w:pPr>
              <w:spacing w:after="0" w:line="240" w:lineRule="auto"/>
              <w:jc w:val="center"/>
              <w:rPr>
                <w:sz w:val="20"/>
              </w:rPr>
            </w:pPr>
            <w:r w:rsidRPr="00CF3950">
              <w:rPr>
                <w:sz w:val="20"/>
              </w:rPr>
              <w:t>31.12.2039.</w:t>
            </w:r>
          </w:p>
        </w:tc>
        <w:tc>
          <w:tcPr>
            <w:tcW w:w="1366" w:type="dxa"/>
            <w:tcBorders>
              <w:top w:val="nil"/>
              <w:left w:val="nil"/>
              <w:bottom w:val="single" w:sz="4" w:space="0" w:color="auto"/>
              <w:right w:val="single" w:sz="4" w:space="0" w:color="auto"/>
            </w:tcBorders>
            <w:vAlign w:val="center"/>
            <w:hideMark/>
          </w:tcPr>
          <w:p w14:paraId="7F104C37" w14:textId="77777777" w:rsidR="00CF3950" w:rsidRPr="00CF3950" w:rsidRDefault="00CF3950" w:rsidP="00CF3950">
            <w:pPr>
              <w:spacing w:after="0" w:line="240" w:lineRule="auto"/>
              <w:jc w:val="right"/>
              <w:rPr>
                <w:b/>
                <w:bCs/>
                <w:sz w:val="20"/>
              </w:rPr>
            </w:pPr>
            <w:r w:rsidRPr="00CF3950">
              <w:rPr>
                <w:sz w:val="20"/>
              </w:rPr>
              <w:t>0,00</w:t>
            </w:r>
          </w:p>
        </w:tc>
        <w:tc>
          <w:tcPr>
            <w:tcW w:w="1267" w:type="dxa"/>
            <w:tcBorders>
              <w:top w:val="nil"/>
              <w:left w:val="nil"/>
              <w:bottom w:val="single" w:sz="4" w:space="0" w:color="auto"/>
              <w:right w:val="single" w:sz="4" w:space="0" w:color="auto"/>
            </w:tcBorders>
            <w:vAlign w:val="center"/>
            <w:hideMark/>
          </w:tcPr>
          <w:p w14:paraId="2F48C4AE" w14:textId="77777777" w:rsidR="00CF3950" w:rsidRPr="00CF3950" w:rsidRDefault="00CF3950" w:rsidP="00CF3950">
            <w:pPr>
              <w:spacing w:after="0" w:line="240" w:lineRule="auto"/>
              <w:jc w:val="right"/>
              <w:rPr>
                <w:sz w:val="20"/>
              </w:rPr>
            </w:pPr>
            <w:r w:rsidRPr="00CF3950">
              <w:rPr>
                <w:sz w:val="20"/>
              </w:rPr>
              <w:t>5.000.000,00</w:t>
            </w:r>
          </w:p>
        </w:tc>
        <w:tc>
          <w:tcPr>
            <w:tcW w:w="1267" w:type="dxa"/>
            <w:tcBorders>
              <w:top w:val="nil"/>
              <w:left w:val="nil"/>
              <w:bottom w:val="single" w:sz="4" w:space="0" w:color="auto"/>
              <w:right w:val="single" w:sz="4" w:space="0" w:color="auto"/>
            </w:tcBorders>
            <w:vAlign w:val="center"/>
          </w:tcPr>
          <w:p w14:paraId="15AE13DE" w14:textId="77777777" w:rsidR="00CF3950" w:rsidRPr="00CF3950" w:rsidRDefault="00CF3950" w:rsidP="00CF3950">
            <w:pPr>
              <w:spacing w:after="0" w:line="240" w:lineRule="auto"/>
              <w:jc w:val="right"/>
              <w:rPr>
                <w:sz w:val="20"/>
              </w:rPr>
            </w:pPr>
            <w:r w:rsidRPr="00CF3950">
              <w:rPr>
                <w:sz w:val="20"/>
              </w:rPr>
              <w:t>0,00</w:t>
            </w:r>
          </w:p>
        </w:tc>
        <w:tc>
          <w:tcPr>
            <w:tcW w:w="1368" w:type="dxa"/>
            <w:tcBorders>
              <w:top w:val="nil"/>
              <w:left w:val="nil"/>
              <w:bottom w:val="single" w:sz="4" w:space="0" w:color="auto"/>
              <w:right w:val="single" w:sz="4" w:space="0" w:color="auto"/>
            </w:tcBorders>
            <w:vAlign w:val="center"/>
          </w:tcPr>
          <w:p w14:paraId="523CD828" w14:textId="77777777" w:rsidR="00CF3950" w:rsidRPr="00CF3950" w:rsidRDefault="00CF3950" w:rsidP="00CF3950">
            <w:pPr>
              <w:spacing w:after="0" w:line="240" w:lineRule="auto"/>
              <w:jc w:val="right"/>
              <w:rPr>
                <w:sz w:val="20"/>
              </w:rPr>
            </w:pPr>
            <w:r w:rsidRPr="00CF3950">
              <w:rPr>
                <w:sz w:val="20"/>
              </w:rPr>
              <w:t>5.000.000,00</w:t>
            </w:r>
          </w:p>
        </w:tc>
      </w:tr>
      <w:tr w:rsidR="00CF3950" w:rsidRPr="00CF3950" w14:paraId="0C017AE3"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61A5E52A" w14:textId="77777777" w:rsidR="00CF3950" w:rsidRPr="00CF3950" w:rsidRDefault="00CF3950" w:rsidP="00CF3950">
            <w:pPr>
              <w:spacing w:after="0" w:line="240" w:lineRule="auto"/>
              <w:jc w:val="center"/>
              <w:rPr>
                <w:sz w:val="20"/>
              </w:rPr>
            </w:pPr>
            <w:r w:rsidRPr="00CF3950">
              <w:rPr>
                <w:sz w:val="20"/>
              </w:rPr>
              <w:t>11.</w:t>
            </w:r>
          </w:p>
        </w:tc>
        <w:tc>
          <w:tcPr>
            <w:tcW w:w="4006" w:type="dxa"/>
            <w:tcBorders>
              <w:top w:val="nil"/>
              <w:left w:val="nil"/>
              <w:bottom w:val="single" w:sz="4" w:space="0" w:color="auto"/>
              <w:right w:val="single" w:sz="4" w:space="0" w:color="auto"/>
            </w:tcBorders>
            <w:vAlign w:val="center"/>
            <w:hideMark/>
          </w:tcPr>
          <w:p w14:paraId="3455745F" w14:textId="77777777" w:rsidR="00CF3950" w:rsidRPr="00CF3950" w:rsidRDefault="00CF3950" w:rsidP="00CF3950">
            <w:pPr>
              <w:spacing w:after="0" w:line="240" w:lineRule="auto"/>
              <w:rPr>
                <w:sz w:val="20"/>
              </w:rPr>
            </w:pPr>
            <w:r w:rsidRPr="00CF3950">
              <w:rPr>
                <w:sz w:val="20"/>
              </w:rPr>
              <w:t>Dom za starije i nemoćne osobe Varaždin</w:t>
            </w:r>
          </w:p>
        </w:tc>
        <w:tc>
          <w:tcPr>
            <w:tcW w:w="1051" w:type="dxa"/>
            <w:tcBorders>
              <w:top w:val="nil"/>
              <w:left w:val="nil"/>
              <w:bottom w:val="single" w:sz="4" w:space="0" w:color="auto"/>
              <w:right w:val="single" w:sz="4" w:space="0" w:color="auto"/>
            </w:tcBorders>
            <w:vAlign w:val="center"/>
            <w:hideMark/>
          </w:tcPr>
          <w:p w14:paraId="4D5E3182" w14:textId="77777777" w:rsidR="00CF3950" w:rsidRPr="00CF3950" w:rsidRDefault="00CF3950" w:rsidP="00CF3950">
            <w:pPr>
              <w:spacing w:after="0" w:line="240" w:lineRule="auto"/>
              <w:jc w:val="center"/>
              <w:rPr>
                <w:sz w:val="20"/>
              </w:rPr>
            </w:pPr>
            <w:r w:rsidRPr="00CF3950">
              <w:rPr>
                <w:sz w:val="20"/>
              </w:rPr>
              <w:t>EnU</w:t>
            </w:r>
          </w:p>
        </w:tc>
        <w:tc>
          <w:tcPr>
            <w:tcW w:w="1151" w:type="dxa"/>
            <w:tcBorders>
              <w:top w:val="nil"/>
              <w:left w:val="nil"/>
              <w:bottom w:val="single" w:sz="4" w:space="0" w:color="auto"/>
              <w:right w:val="single" w:sz="4" w:space="0" w:color="auto"/>
            </w:tcBorders>
            <w:vAlign w:val="center"/>
            <w:hideMark/>
          </w:tcPr>
          <w:p w14:paraId="319E2FA1" w14:textId="77777777" w:rsidR="00CF3950" w:rsidRPr="00CF3950" w:rsidRDefault="00CF3950" w:rsidP="00CF3950">
            <w:pPr>
              <w:spacing w:after="0" w:line="240" w:lineRule="auto"/>
              <w:jc w:val="center"/>
              <w:rPr>
                <w:sz w:val="20"/>
              </w:rPr>
            </w:pPr>
            <w:r w:rsidRPr="00CF3950">
              <w:rPr>
                <w:sz w:val="20"/>
              </w:rPr>
              <w:t>2019.</w:t>
            </w:r>
          </w:p>
        </w:tc>
        <w:tc>
          <w:tcPr>
            <w:tcW w:w="1367" w:type="dxa"/>
            <w:tcBorders>
              <w:top w:val="nil"/>
              <w:left w:val="nil"/>
              <w:bottom w:val="single" w:sz="4" w:space="0" w:color="auto"/>
              <w:right w:val="single" w:sz="4" w:space="0" w:color="auto"/>
            </w:tcBorders>
            <w:vAlign w:val="center"/>
            <w:hideMark/>
          </w:tcPr>
          <w:p w14:paraId="1C960071" w14:textId="77777777" w:rsidR="00CF3950" w:rsidRPr="00CF3950" w:rsidRDefault="00CF3950" w:rsidP="00CF3950">
            <w:pPr>
              <w:spacing w:after="0" w:line="240" w:lineRule="auto"/>
              <w:jc w:val="right"/>
              <w:rPr>
                <w:b/>
                <w:bCs/>
                <w:sz w:val="20"/>
              </w:rPr>
            </w:pPr>
            <w:r w:rsidRPr="00CF3950">
              <w:rPr>
                <w:sz w:val="20"/>
              </w:rPr>
              <w:t>1.406.786,19</w:t>
            </w:r>
          </w:p>
        </w:tc>
        <w:tc>
          <w:tcPr>
            <w:tcW w:w="1167" w:type="dxa"/>
            <w:tcBorders>
              <w:top w:val="nil"/>
              <w:left w:val="nil"/>
              <w:bottom w:val="single" w:sz="4" w:space="0" w:color="auto"/>
              <w:right w:val="single" w:sz="4" w:space="0" w:color="auto"/>
            </w:tcBorders>
            <w:vAlign w:val="center"/>
            <w:hideMark/>
          </w:tcPr>
          <w:p w14:paraId="419BB76F" w14:textId="77777777" w:rsidR="00CF3950" w:rsidRPr="00CF3950" w:rsidRDefault="00CF3950" w:rsidP="00CF3950">
            <w:pPr>
              <w:spacing w:after="0" w:line="240" w:lineRule="auto"/>
              <w:jc w:val="center"/>
              <w:rPr>
                <w:sz w:val="20"/>
              </w:rPr>
            </w:pPr>
            <w:r w:rsidRPr="00CF3950">
              <w:rPr>
                <w:sz w:val="20"/>
              </w:rPr>
              <w:t>31.08.2034.</w:t>
            </w:r>
          </w:p>
        </w:tc>
        <w:tc>
          <w:tcPr>
            <w:tcW w:w="1366" w:type="dxa"/>
            <w:tcBorders>
              <w:top w:val="nil"/>
              <w:left w:val="nil"/>
              <w:bottom w:val="single" w:sz="4" w:space="0" w:color="auto"/>
              <w:right w:val="single" w:sz="4" w:space="0" w:color="auto"/>
            </w:tcBorders>
            <w:vAlign w:val="center"/>
            <w:hideMark/>
          </w:tcPr>
          <w:p w14:paraId="0DD8E2A3" w14:textId="77777777" w:rsidR="00CF3950" w:rsidRPr="00CF3950" w:rsidRDefault="00CF3950" w:rsidP="00CF3950">
            <w:pPr>
              <w:spacing w:after="0" w:line="240" w:lineRule="auto"/>
              <w:jc w:val="right"/>
              <w:rPr>
                <w:b/>
                <w:bCs/>
                <w:sz w:val="20"/>
              </w:rPr>
            </w:pPr>
            <w:r w:rsidRPr="00CF3950">
              <w:rPr>
                <w:sz w:val="20"/>
              </w:rPr>
              <w:t>848.110,00</w:t>
            </w:r>
          </w:p>
        </w:tc>
        <w:tc>
          <w:tcPr>
            <w:tcW w:w="1267" w:type="dxa"/>
            <w:tcBorders>
              <w:top w:val="nil"/>
              <w:left w:val="nil"/>
              <w:bottom w:val="single" w:sz="4" w:space="0" w:color="auto"/>
              <w:right w:val="single" w:sz="4" w:space="0" w:color="auto"/>
            </w:tcBorders>
            <w:vAlign w:val="center"/>
            <w:hideMark/>
          </w:tcPr>
          <w:p w14:paraId="547B3B5D" w14:textId="77777777" w:rsidR="00CF3950" w:rsidRPr="00CF3950" w:rsidRDefault="00CF3950" w:rsidP="00CF3950">
            <w:pPr>
              <w:spacing w:after="0" w:line="240" w:lineRule="auto"/>
              <w:jc w:val="right"/>
              <w:rPr>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16A148D0" w14:textId="77777777" w:rsidR="00CF3950" w:rsidRPr="00CF3950" w:rsidRDefault="00CF3950" w:rsidP="00CF3950">
            <w:pPr>
              <w:spacing w:after="0" w:line="240" w:lineRule="auto"/>
              <w:jc w:val="right"/>
              <w:rPr>
                <w:sz w:val="20"/>
              </w:rPr>
            </w:pPr>
            <w:r w:rsidRPr="00CF3950">
              <w:rPr>
                <w:sz w:val="20"/>
              </w:rPr>
              <w:t>82.742,44</w:t>
            </w:r>
          </w:p>
        </w:tc>
        <w:tc>
          <w:tcPr>
            <w:tcW w:w="1368" w:type="dxa"/>
            <w:tcBorders>
              <w:top w:val="nil"/>
              <w:left w:val="nil"/>
              <w:bottom w:val="single" w:sz="4" w:space="0" w:color="auto"/>
              <w:right w:val="single" w:sz="4" w:space="0" w:color="auto"/>
            </w:tcBorders>
            <w:vAlign w:val="center"/>
          </w:tcPr>
          <w:p w14:paraId="447307DD" w14:textId="77777777" w:rsidR="00CF3950" w:rsidRPr="00CF3950" w:rsidRDefault="00CF3950" w:rsidP="00CF3950">
            <w:pPr>
              <w:spacing w:after="0" w:line="240" w:lineRule="auto"/>
              <w:jc w:val="right"/>
              <w:rPr>
                <w:sz w:val="20"/>
              </w:rPr>
            </w:pPr>
            <w:r w:rsidRPr="00CF3950">
              <w:rPr>
                <w:sz w:val="20"/>
              </w:rPr>
              <w:t>765.367,56</w:t>
            </w:r>
          </w:p>
        </w:tc>
      </w:tr>
      <w:tr w:rsidR="00CF3950" w:rsidRPr="00CF3950" w14:paraId="5B670FEC"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2FD40286" w14:textId="77777777" w:rsidR="00CF3950" w:rsidRPr="00CF3950" w:rsidRDefault="00CF3950" w:rsidP="00CF3950">
            <w:pPr>
              <w:spacing w:after="0" w:line="240" w:lineRule="auto"/>
              <w:jc w:val="center"/>
              <w:rPr>
                <w:sz w:val="20"/>
              </w:rPr>
            </w:pPr>
            <w:r w:rsidRPr="00CF3950">
              <w:rPr>
                <w:sz w:val="20"/>
              </w:rPr>
              <w:t>12.</w:t>
            </w:r>
          </w:p>
        </w:tc>
        <w:tc>
          <w:tcPr>
            <w:tcW w:w="4006" w:type="dxa"/>
            <w:tcBorders>
              <w:top w:val="nil"/>
              <w:left w:val="nil"/>
              <w:bottom w:val="single" w:sz="4" w:space="0" w:color="auto"/>
              <w:right w:val="single" w:sz="4" w:space="0" w:color="auto"/>
            </w:tcBorders>
            <w:vAlign w:val="center"/>
            <w:hideMark/>
          </w:tcPr>
          <w:p w14:paraId="7371A106" w14:textId="77777777" w:rsidR="00CF3950" w:rsidRPr="00CF3950" w:rsidRDefault="00CF3950" w:rsidP="00CF3950">
            <w:pPr>
              <w:spacing w:after="0" w:line="240" w:lineRule="auto"/>
              <w:rPr>
                <w:sz w:val="20"/>
              </w:rPr>
            </w:pPr>
            <w:r w:rsidRPr="00CF3950">
              <w:rPr>
                <w:sz w:val="20"/>
              </w:rPr>
              <w:t>Dom za starije i nemoćne osobe Varaždin</w:t>
            </w:r>
          </w:p>
        </w:tc>
        <w:tc>
          <w:tcPr>
            <w:tcW w:w="1051" w:type="dxa"/>
            <w:tcBorders>
              <w:top w:val="nil"/>
              <w:left w:val="nil"/>
              <w:bottom w:val="single" w:sz="4" w:space="0" w:color="auto"/>
              <w:right w:val="single" w:sz="4" w:space="0" w:color="auto"/>
            </w:tcBorders>
            <w:vAlign w:val="center"/>
            <w:hideMark/>
          </w:tcPr>
          <w:p w14:paraId="693B54EB" w14:textId="77777777" w:rsidR="00CF3950" w:rsidRPr="00CF3950" w:rsidRDefault="00CF3950" w:rsidP="00CF3950">
            <w:pPr>
              <w:spacing w:after="0" w:line="240" w:lineRule="auto"/>
              <w:jc w:val="center"/>
              <w:rPr>
                <w:sz w:val="20"/>
              </w:rPr>
            </w:pPr>
            <w:r w:rsidRPr="00CF3950">
              <w:rPr>
                <w:sz w:val="20"/>
              </w:rPr>
              <w:t>EnU</w:t>
            </w:r>
          </w:p>
        </w:tc>
        <w:tc>
          <w:tcPr>
            <w:tcW w:w="1151" w:type="dxa"/>
            <w:tcBorders>
              <w:top w:val="nil"/>
              <w:left w:val="nil"/>
              <w:bottom w:val="single" w:sz="4" w:space="0" w:color="auto"/>
              <w:right w:val="single" w:sz="4" w:space="0" w:color="auto"/>
            </w:tcBorders>
            <w:vAlign w:val="center"/>
            <w:hideMark/>
          </w:tcPr>
          <w:p w14:paraId="2435B163" w14:textId="77777777" w:rsidR="00CF3950" w:rsidRPr="00CF3950" w:rsidRDefault="00CF3950" w:rsidP="00CF3950">
            <w:pPr>
              <w:spacing w:after="0" w:line="240" w:lineRule="auto"/>
              <w:jc w:val="center"/>
              <w:rPr>
                <w:sz w:val="20"/>
              </w:rPr>
            </w:pPr>
            <w:r w:rsidRPr="00CF3950">
              <w:rPr>
                <w:sz w:val="20"/>
              </w:rPr>
              <w:t>2020.</w:t>
            </w:r>
          </w:p>
        </w:tc>
        <w:tc>
          <w:tcPr>
            <w:tcW w:w="1367" w:type="dxa"/>
            <w:tcBorders>
              <w:top w:val="nil"/>
              <w:left w:val="nil"/>
              <w:bottom w:val="single" w:sz="4" w:space="0" w:color="auto"/>
              <w:right w:val="single" w:sz="4" w:space="0" w:color="auto"/>
            </w:tcBorders>
            <w:vAlign w:val="center"/>
            <w:hideMark/>
          </w:tcPr>
          <w:p w14:paraId="3AE2D9AA" w14:textId="77777777" w:rsidR="00CF3950" w:rsidRPr="00CF3950" w:rsidRDefault="00CF3950" w:rsidP="00CF3950">
            <w:pPr>
              <w:spacing w:after="0" w:line="240" w:lineRule="auto"/>
              <w:jc w:val="right"/>
              <w:rPr>
                <w:b/>
                <w:bCs/>
                <w:sz w:val="20"/>
              </w:rPr>
            </w:pPr>
            <w:r w:rsidRPr="00CF3950">
              <w:rPr>
                <w:sz w:val="20"/>
              </w:rPr>
              <w:t>251.435,65</w:t>
            </w:r>
          </w:p>
        </w:tc>
        <w:tc>
          <w:tcPr>
            <w:tcW w:w="1167" w:type="dxa"/>
            <w:tcBorders>
              <w:top w:val="nil"/>
              <w:left w:val="nil"/>
              <w:bottom w:val="single" w:sz="4" w:space="0" w:color="auto"/>
              <w:right w:val="single" w:sz="4" w:space="0" w:color="auto"/>
            </w:tcBorders>
            <w:vAlign w:val="center"/>
            <w:hideMark/>
          </w:tcPr>
          <w:p w14:paraId="2BC5192A" w14:textId="77777777" w:rsidR="00CF3950" w:rsidRPr="00CF3950" w:rsidRDefault="00CF3950" w:rsidP="00CF3950">
            <w:pPr>
              <w:spacing w:after="0" w:line="240" w:lineRule="auto"/>
              <w:jc w:val="center"/>
              <w:rPr>
                <w:sz w:val="20"/>
              </w:rPr>
            </w:pPr>
            <w:r w:rsidRPr="00CF3950">
              <w:rPr>
                <w:sz w:val="20"/>
              </w:rPr>
              <w:t>30.09.2031.</w:t>
            </w:r>
          </w:p>
        </w:tc>
        <w:tc>
          <w:tcPr>
            <w:tcW w:w="1366" w:type="dxa"/>
            <w:tcBorders>
              <w:top w:val="nil"/>
              <w:left w:val="nil"/>
              <w:bottom w:val="single" w:sz="4" w:space="0" w:color="auto"/>
              <w:right w:val="single" w:sz="4" w:space="0" w:color="auto"/>
            </w:tcBorders>
            <w:vAlign w:val="center"/>
            <w:hideMark/>
          </w:tcPr>
          <w:p w14:paraId="436321E5" w14:textId="77777777" w:rsidR="00CF3950" w:rsidRPr="00CF3950" w:rsidRDefault="00CF3950" w:rsidP="00CF3950">
            <w:pPr>
              <w:spacing w:after="0" w:line="240" w:lineRule="auto"/>
              <w:jc w:val="right"/>
              <w:rPr>
                <w:b/>
                <w:bCs/>
                <w:sz w:val="20"/>
              </w:rPr>
            </w:pPr>
            <w:r w:rsidRPr="00CF3950">
              <w:rPr>
                <w:sz w:val="20"/>
              </w:rPr>
              <w:t>173.971,48</w:t>
            </w:r>
          </w:p>
        </w:tc>
        <w:tc>
          <w:tcPr>
            <w:tcW w:w="1267" w:type="dxa"/>
            <w:tcBorders>
              <w:top w:val="nil"/>
              <w:left w:val="nil"/>
              <w:bottom w:val="single" w:sz="4" w:space="0" w:color="auto"/>
              <w:right w:val="single" w:sz="4" w:space="0" w:color="auto"/>
            </w:tcBorders>
            <w:vAlign w:val="center"/>
            <w:hideMark/>
          </w:tcPr>
          <w:p w14:paraId="4D182C87" w14:textId="77777777" w:rsidR="00CF3950" w:rsidRPr="00CF3950" w:rsidRDefault="00CF3950" w:rsidP="00CF3950">
            <w:pPr>
              <w:spacing w:after="0" w:line="240" w:lineRule="auto"/>
              <w:jc w:val="right"/>
              <w:rPr>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337104D2" w14:textId="77777777" w:rsidR="00CF3950" w:rsidRPr="00CF3950" w:rsidRDefault="00CF3950" w:rsidP="00CF3950">
            <w:pPr>
              <w:spacing w:after="0" w:line="240" w:lineRule="auto"/>
              <w:jc w:val="right"/>
              <w:rPr>
                <w:sz w:val="20"/>
              </w:rPr>
            </w:pPr>
            <w:r w:rsidRPr="00CF3950">
              <w:rPr>
                <w:sz w:val="20"/>
              </w:rPr>
              <w:t>25.123,44</w:t>
            </w:r>
          </w:p>
        </w:tc>
        <w:tc>
          <w:tcPr>
            <w:tcW w:w="1368" w:type="dxa"/>
            <w:tcBorders>
              <w:top w:val="nil"/>
              <w:left w:val="nil"/>
              <w:bottom w:val="single" w:sz="4" w:space="0" w:color="auto"/>
              <w:right w:val="single" w:sz="4" w:space="0" w:color="auto"/>
            </w:tcBorders>
            <w:vAlign w:val="center"/>
          </w:tcPr>
          <w:p w14:paraId="11D2B499" w14:textId="77777777" w:rsidR="00CF3950" w:rsidRPr="00CF3950" w:rsidRDefault="00CF3950" w:rsidP="00CF3950">
            <w:pPr>
              <w:spacing w:after="0" w:line="240" w:lineRule="auto"/>
              <w:jc w:val="right"/>
              <w:rPr>
                <w:sz w:val="20"/>
              </w:rPr>
            </w:pPr>
            <w:r w:rsidRPr="00CF3950">
              <w:rPr>
                <w:sz w:val="20"/>
              </w:rPr>
              <w:t>148.848,04</w:t>
            </w:r>
          </w:p>
        </w:tc>
      </w:tr>
      <w:tr w:rsidR="00CF3950" w:rsidRPr="00CF3950" w14:paraId="025B0A87"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1BDAAF5F" w14:textId="77777777" w:rsidR="00CF3950" w:rsidRPr="00CF3950" w:rsidRDefault="00CF3950" w:rsidP="00CF3950">
            <w:pPr>
              <w:spacing w:after="0" w:line="240" w:lineRule="auto"/>
              <w:jc w:val="center"/>
              <w:rPr>
                <w:sz w:val="20"/>
              </w:rPr>
            </w:pPr>
            <w:r w:rsidRPr="00CF3950">
              <w:rPr>
                <w:sz w:val="20"/>
              </w:rPr>
              <w:t>13.</w:t>
            </w:r>
          </w:p>
        </w:tc>
        <w:tc>
          <w:tcPr>
            <w:tcW w:w="4006" w:type="dxa"/>
            <w:tcBorders>
              <w:top w:val="nil"/>
              <w:left w:val="nil"/>
              <w:bottom w:val="single" w:sz="4" w:space="0" w:color="auto"/>
              <w:right w:val="single" w:sz="4" w:space="0" w:color="auto"/>
            </w:tcBorders>
            <w:vAlign w:val="center"/>
            <w:hideMark/>
          </w:tcPr>
          <w:p w14:paraId="2F8692CC" w14:textId="77777777" w:rsidR="00CF3950" w:rsidRPr="00CF3950" w:rsidRDefault="00CF3950" w:rsidP="00CF3950">
            <w:pPr>
              <w:spacing w:after="0" w:line="240" w:lineRule="auto"/>
              <w:rPr>
                <w:sz w:val="20"/>
              </w:rPr>
            </w:pPr>
            <w:r w:rsidRPr="00CF3950">
              <w:rPr>
                <w:sz w:val="20"/>
              </w:rPr>
              <w:t>Županijska uprava za ceste Varaždinske županije</w:t>
            </w:r>
          </w:p>
        </w:tc>
        <w:tc>
          <w:tcPr>
            <w:tcW w:w="1051" w:type="dxa"/>
            <w:tcBorders>
              <w:top w:val="nil"/>
              <w:left w:val="nil"/>
              <w:bottom w:val="single" w:sz="4" w:space="0" w:color="auto"/>
              <w:right w:val="single" w:sz="4" w:space="0" w:color="auto"/>
            </w:tcBorders>
            <w:vAlign w:val="center"/>
            <w:hideMark/>
          </w:tcPr>
          <w:p w14:paraId="58BA7A4B" w14:textId="77777777" w:rsidR="00CF3950" w:rsidRPr="00CF3950" w:rsidRDefault="00CF3950" w:rsidP="00CF3950">
            <w:pPr>
              <w:spacing w:after="0" w:line="240" w:lineRule="auto"/>
              <w:jc w:val="center"/>
              <w:rPr>
                <w:sz w:val="20"/>
              </w:rPr>
            </w:pPr>
            <w:r w:rsidRPr="00CF3950">
              <w:rPr>
                <w:sz w:val="20"/>
              </w:rPr>
              <w:t>Investicija</w:t>
            </w:r>
          </w:p>
        </w:tc>
        <w:tc>
          <w:tcPr>
            <w:tcW w:w="1151" w:type="dxa"/>
            <w:tcBorders>
              <w:top w:val="nil"/>
              <w:left w:val="nil"/>
              <w:bottom w:val="single" w:sz="4" w:space="0" w:color="auto"/>
              <w:right w:val="single" w:sz="4" w:space="0" w:color="auto"/>
            </w:tcBorders>
            <w:vAlign w:val="center"/>
            <w:hideMark/>
          </w:tcPr>
          <w:p w14:paraId="04F27574" w14:textId="77777777" w:rsidR="00CF3950" w:rsidRPr="00CF3950" w:rsidRDefault="00CF3950" w:rsidP="00CF3950">
            <w:pPr>
              <w:spacing w:after="0" w:line="240" w:lineRule="auto"/>
              <w:jc w:val="center"/>
              <w:rPr>
                <w:sz w:val="20"/>
              </w:rPr>
            </w:pPr>
            <w:r w:rsidRPr="00CF3950">
              <w:rPr>
                <w:sz w:val="20"/>
              </w:rPr>
              <w:t>2016.</w:t>
            </w:r>
          </w:p>
        </w:tc>
        <w:tc>
          <w:tcPr>
            <w:tcW w:w="1367" w:type="dxa"/>
            <w:tcBorders>
              <w:top w:val="nil"/>
              <w:left w:val="nil"/>
              <w:bottom w:val="single" w:sz="4" w:space="0" w:color="auto"/>
              <w:right w:val="single" w:sz="4" w:space="0" w:color="auto"/>
            </w:tcBorders>
            <w:vAlign w:val="center"/>
            <w:hideMark/>
          </w:tcPr>
          <w:p w14:paraId="64908D53" w14:textId="77777777" w:rsidR="00CF3950" w:rsidRPr="00CF3950" w:rsidRDefault="00CF3950" w:rsidP="00CF3950">
            <w:pPr>
              <w:spacing w:after="0" w:line="240" w:lineRule="auto"/>
              <w:jc w:val="right"/>
              <w:rPr>
                <w:b/>
                <w:bCs/>
                <w:sz w:val="20"/>
              </w:rPr>
            </w:pPr>
            <w:r w:rsidRPr="00CF3950">
              <w:rPr>
                <w:sz w:val="20"/>
              </w:rPr>
              <w:t>2.654.456,17</w:t>
            </w:r>
          </w:p>
        </w:tc>
        <w:tc>
          <w:tcPr>
            <w:tcW w:w="1167" w:type="dxa"/>
            <w:tcBorders>
              <w:top w:val="nil"/>
              <w:left w:val="nil"/>
              <w:bottom w:val="single" w:sz="4" w:space="0" w:color="auto"/>
              <w:right w:val="single" w:sz="4" w:space="0" w:color="auto"/>
            </w:tcBorders>
            <w:vAlign w:val="center"/>
            <w:hideMark/>
          </w:tcPr>
          <w:p w14:paraId="188A8D1C" w14:textId="77777777" w:rsidR="00CF3950" w:rsidRPr="00CF3950" w:rsidRDefault="00CF3950" w:rsidP="00CF3950">
            <w:pPr>
              <w:spacing w:after="0" w:line="240" w:lineRule="auto"/>
              <w:jc w:val="center"/>
              <w:rPr>
                <w:sz w:val="20"/>
              </w:rPr>
            </w:pPr>
            <w:r w:rsidRPr="00CF3950">
              <w:rPr>
                <w:sz w:val="20"/>
              </w:rPr>
              <w:t>30.06.2026.</w:t>
            </w:r>
          </w:p>
        </w:tc>
        <w:tc>
          <w:tcPr>
            <w:tcW w:w="1366" w:type="dxa"/>
            <w:tcBorders>
              <w:top w:val="nil"/>
              <w:left w:val="nil"/>
              <w:bottom w:val="single" w:sz="4" w:space="0" w:color="auto"/>
              <w:right w:val="single" w:sz="4" w:space="0" w:color="auto"/>
            </w:tcBorders>
            <w:vAlign w:val="center"/>
            <w:hideMark/>
          </w:tcPr>
          <w:p w14:paraId="16542A7D" w14:textId="77777777" w:rsidR="00CF3950" w:rsidRPr="00CF3950" w:rsidRDefault="00CF3950" w:rsidP="00CF3950">
            <w:pPr>
              <w:spacing w:after="0" w:line="240" w:lineRule="auto"/>
              <w:jc w:val="right"/>
              <w:rPr>
                <w:b/>
                <w:bCs/>
                <w:sz w:val="20"/>
              </w:rPr>
            </w:pPr>
            <w:r w:rsidRPr="00CF3950">
              <w:rPr>
                <w:sz w:val="20"/>
              </w:rPr>
              <w:t>497.710,49</w:t>
            </w:r>
          </w:p>
        </w:tc>
        <w:tc>
          <w:tcPr>
            <w:tcW w:w="1267" w:type="dxa"/>
            <w:tcBorders>
              <w:top w:val="nil"/>
              <w:left w:val="nil"/>
              <w:bottom w:val="single" w:sz="4" w:space="0" w:color="auto"/>
              <w:right w:val="single" w:sz="4" w:space="0" w:color="auto"/>
            </w:tcBorders>
            <w:vAlign w:val="center"/>
            <w:hideMark/>
          </w:tcPr>
          <w:p w14:paraId="35EEC38B" w14:textId="77777777" w:rsidR="00CF3950" w:rsidRPr="00CF3950" w:rsidRDefault="00CF3950" w:rsidP="00CF3950">
            <w:pPr>
              <w:spacing w:after="0" w:line="240" w:lineRule="auto"/>
              <w:jc w:val="right"/>
              <w:rPr>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23D085F0" w14:textId="77777777" w:rsidR="00CF3950" w:rsidRPr="00CF3950" w:rsidRDefault="00CF3950" w:rsidP="00CF3950">
            <w:pPr>
              <w:spacing w:after="0" w:line="240" w:lineRule="auto"/>
              <w:jc w:val="right"/>
              <w:rPr>
                <w:sz w:val="20"/>
              </w:rPr>
            </w:pPr>
            <w:r w:rsidRPr="00CF3950">
              <w:rPr>
                <w:sz w:val="20"/>
              </w:rPr>
              <w:t>331.807,04</w:t>
            </w:r>
          </w:p>
        </w:tc>
        <w:tc>
          <w:tcPr>
            <w:tcW w:w="1368" w:type="dxa"/>
            <w:tcBorders>
              <w:top w:val="nil"/>
              <w:left w:val="nil"/>
              <w:bottom w:val="single" w:sz="4" w:space="0" w:color="auto"/>
              <w:right w:val="single" w:sz="4" w:space="0" w:color="auto"/>
            </w:tcBorders>
            <w:vAlign w:val="center"/>
          </w:tcPr>
          <w:p w14:paraId="11AF04E2" w14:textId="77777777" w:rsidR="00CF3950" w:rsidRPr="00CF3950" w:rsidRDefault="00CF3950" w:rsidP="00CF3950">
            <w:pPr>
              <w:spacing w:after="0" w:line="240" w:lineRule="auto"/>
              <w:jc w:val="right"/>
              <w:rPr>
                <w:sz w:val="20"/>
              </w:rPr>
            </w:pPr>
            <w:r w:rsidRPr="00CF3950">
              <w:rPr>
                <w:sz w:val="20"/>
              </w:rPr>
              <w:t>165.903,45</w:t>
            </w:r>
          </w:p>
        </w:tc>
      </w:tr>
      <w:tr w:rsidR="00CF3950" w:rsidRPr="00CF3950" w14:paraId="6922689D"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79AF87E6" w14:textId="77777777" w:rsidR="00CF3950" w:rsidRPr="00CF3950" w:rsidRDefault="00CF3950" w:rsidP="00CF3950">
            <w:pPr>
              <w:spacing w:after="0" w:line="240" w:lineRule="auto"/>
              <w:jc w:val="center"/>
              <w:rPr>
                <w:sz w:val="20"/>
              </w:rPr>
            </w:pPr>
            <w:r w:rsidRPr="00CF3950">
              <w:rPr>
                <w:sz w:val="20"/>
              </w:rPr>
              <w:t>14.</w:t>
            </w:r>
          </w:p>
        </w:tc>
        <w:tc>
          <w:tcPr>
            <w:tcW w:w="4006" w:type="dxa"/>
            <w:tcBorders>
              <w:top w:val="nil"/>
              <w:left w:val="nil"/>
              <w:bottom w:val="single" w:sz="4" w:space="0" w:color="auto"/>
              <w:right w:val="single" w:sz="4" w:space="0" w:color="auto"/>
            </w:tcBorders>
            <w:vAlign w:val="center"/>
            <w:hideMark/>
          </w:tcPr>
          <w:p w14:paraId="5DFD7EDD" w14:textId="77777777" w:rsidR="00CF3950" w:rsidRPr="00CF3950" w:rsidRDefault="00CF3950" w:rsidP="00CF3950">
            <w:pPr>
              <w:spacing w:after="0" w:line="240" w:lineRule="auto"/>
              <w:rPr>
                <w:sz w:val="20"/>
              </w:rPr>
            </w:pPr>
            <w:r w:rsidRPr="00CF3950">
              <w:rPr>
                <w:sz w:val="20"/>
              </w:rPr>
              <w:t>Županijska uprava za ceste Varaždinske županije</w:t>
            </w:r>
          </w:p>
        </w:tc>
        <w:tc>
          <w:tcPr>
            <w:tcW w:w="1051" w:type="dxa"/>
            <w:tcBorders>
              <w:top w:val="nil"/>
              <w:left w:val="nil"/>
              <w:bottom w:val="single" w:sz="4" w:space="0" w:color="auto"/>
              <w:right w:val="single" w:sz="4" w:space="0" w:color="auto"/>
            </w:tcBorders>
            <w:vAlign w:val="center"/>
            <w:hideMark/>
          </w:tcPr>
          <w:p w14:paraId="60F8BBE0" w14:textId="77777777" w:rsidR="00CF3950" w:rsidRPr="00CF3950" w:rsidRDefault="00CF3950" w:rsidP="00CF3950">
            <w:pPr>
              <w:spacing w:after="0" w:line="240" w:lineRule="auto"/>
              <w:jc w:val="center"/>
              <w:rPr>
                <w:sz w:val="20"/>
              </w:rPr>
            </w:pPr>
            <w:r w:rsidRPr="00CF3950">
              <w:rPr>
                <w:sz w:val="20"/>
              </w:rPr>
              <w:t>Investicija</w:t>
            </w:r>
          </w:p>
        </w:tc>
        <w:tc>
          <w:tcPr>
            <w:tcW w:w="1151" w:type="dxa"/>
            <w:tcBorders>
              <w:top w:val="nil"/>
              <w:left w:val="nil"/>
              <w:bottom w:val="single" w:sz="4" w:space="0" w:color="auto"/>
              <w:right w:val="single" w:sz="4" w:space="0" w:color="auto"/>
            </w:tcBorders>
            <w:vAlign w:val="center"/>
            <w:hideMark/>
          </w:tcPr>
          <w:p w14:paraId="414C672D" w14:textId="77777777" w:rsidR="00CF3950" w:rsidRPr="00CF3950" w:rsidRDefault="00CF3950" w:rsidP="00CF3950">
            <w:pPr>
              <w:spacing w:after="0" w:line="240" w:lineRule="auto"/>
              <w:jc w:val="center"/>
              <w:rPr>
                <w:sz w:val="20"/>
              </w:rPr>
            </w:pPr>
            <w:r w:rsidRPr="00CF3950">
              <w:rPr>
                <w:sz w:val="20"/>
              </w:rPr>
              <w:t>2020.</w:t>
            </w:r>
          </w:p>
        </w:tc>
        <w:tc>
          <w:tcPr>
            <w:tcW w:w="1367" w:type="dxa"/>
            <w:tcBorders>
              <w:top w:val="nil"/>
              <w:left w:val="nil"/>
              <w:bottom w:val="single" w:sz="4" w:space="0" w:color="auto"/>
              <w:right w:val="single" w:sz="4" w:space="0" w:color="auto"/>
            </w:tcBorders>
            <w:vAlign w:val="center"/>
            <w:hideMark/>
          </w:tcPr>
          <w:p w14:paraId="2B1F0B48" w14:textId="77777777" w:rsidR="00CF3950" w:rsidRPr="00CF3950" w:rsidRDefault="00CF3950" w:rsidP="00CF3950">
            <w:pPr>
              <w:spacing w:after="0" w:line="240" w:lineRule="auto"/>
              <w:jc w:val="right"/>
              <w:rPr>
                <w:b/>
                <w:bCs/>
                <w:sz w:val="20"/>
              </w:rPr>
            </w:pPr>
            <w:r w:rsidRPr="00CF3950">
              <w:rPr>
                <w:sz w:val="20"/>
              </w:rPr>
              <w:t>1.976.821,73</w:t>
            </w:r>
          </w:p>
        </w:tc>
        <w:tc>
          <w:tcPr>
            <w:tcW w:w="1167" w:type="dxa"/>
            <w:tcBorders>
              <w:top w:val="nil"/>
              <w:left w:val="nil"/>
              <w:bottom w:val="single" w:sz="4" w:space="0" w:color="auto"/>
              <w:right w:val="single" w:sz="4" w:space="0" w:color="auto"/>
            </w:tcBorders>
            <w:vAlign w:val="center"/>
            <w:hideMark/>
          </w:tcPr>
          <w:p w14:paraId="61008C24" w14:textId="77777777" w:rsidR="00CF3950" w:rsidRPr="00CF3950" w:rsidRDefault="00CF3950" w:rsidP="00CF3950">
            <w:pPr>
              <w:spacing w:after="0" w:line="240" w:lineRule="auto"/>
              <w:jc w:val="center"/>
              <w:rPr>
                <w:sz w:val="20"/>
              </w:rPr>
            </w:pPr>
            <w:r w:rsidRPr="00CF3950">
              <w:rPr>
                <w:sz w:val="20"/>
              </w:rPr>
              <w:t>31.01.2030.</w:t>
            </w:r>
          </w:p>
        </w:tc>
        <w:tc>
          <w:tcPr>
            <w:tcW w:w="1366" w:type="dxa"/>
            <w:tcBorders>
              <w:top w:val="nil"/>
              <w:left w:val="nil"/>
              <w:bottom w:val="single" w:sz="4" w:space="0" w:color="auto"/>
              <w:right w:val="single" w:sz="4" w:space="0" w:color="auto"/>
            </w:tcBorders>
            <w:vAlign w:val="center"/>
            <w:hideMark/>
          </w:tcPr>
          <w:p w14:paraId="6D0D29C0" w14:textId="77777777" w:rsidR="00CF3950" w:rsidRPr="00CF3950" w:rsidRDefault="00CF3950" w:rsidP="00CF3950">
            <w:pPr>
              <w:spacing w:after="0" w:line="240" w:lineRule="auto"/>
              <w:jc w:val="right"/>
              <w:rPr>
                <w:b/>
                <w:bCs/>
                <w:sz w:val="20"/>
              </w:rPr>
            </w:pPr>
            <w:r w:rsidRPr="00CF3950">
              <w:rPr>
                <w:sz w:val="20"/>
              </w:rPr>
              <w:t>1.294.778,25</w:t>
            </w:r>
          </w:p>
        </w:tc>
        <w:tc>
          <w:tcPr>
            <w:tcW w:w="1267" w:type="dxa"/>
            <w:tcBorders>
              <w:top w:val="nil"/>
              <w:left w:val="nil"/>
              <w:bottom w:val="single" w:sz="4" w:space="0" w:color="auto"/>
              <w:right w:val="single" w:sz="4" w:space="0" w:color="auto"/>
            </w:tcBorders>
            <w:vAlign w:val="center"/>
            <w:hideMark/>
          </w:tcPr>
          <w:p w14:paraId="2D07A170" w14:textId="77777777" w:rsidR="00CF3950" w:rsidRPr="00CF3950" w:rsidRDefault="00CF3950" w:rsidP="00CF3950">
            <w:pPr>
              <w:spacing w:after="0" w:line="240" w:lineRule="auto"/>
              <w:jc w:val="right"/>
              <w:rPr>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18C914BD" w14:textId="77777777" w:rsidR="00CF3950" w:rsidRPr="00CF3950" w:rsidRDefault="00CF3950" w:rsidP="00CF3950">
            <w:pPr>
              <w:spacing w:after="0" w:line="240" w:lineRule="auto"/>
              <w:jc w:val="right"/>
              <w:rPr>
                <w:sz w:val="20"/>
              </w:rPr>
            </w:pPr>
            <w:r w:rsidRPr="00CF3950">
              <w:rPr>
                <w:sz w:val="20"/>
              </w:rPr>
              <w:t>248.005,52</w:t>
            </w:r>
          </w:p>
        </w:tc>
        <w:tc>
          <w:tcPr>
            <w:tcW w:w="1368" w:type="dxa"/>
            <w:tcBorders>
              <w:top w:val="nil"/>
              <w:left w:val="nil"/>
              <w:bottom w:val="single" w:sz="4" w:space="0" w:color="auto"/>
              <w:right w:val="single" w:sz="4" w:space="0" w:color="auto"/>
            </w:tcBorders>
            <w:vAlign w:val="center"/>
          </w:tcPr>
          <w:p w14:paraId="752D6256" w14:textId="77777777" w:rsidR="00CF3950" w:rsidRPr="00CF3950" w:rsidRDefault="00CF3950" w:rsidP="00CF3950">
            <w:pPr>
              <w:spacing w:after="0" w:line="240" w:lineRule="auto"/>
              <w:jc w:val="right"/>
              <w:rPr>
                <w:sz w:val="20"/>
              </w:rPr>
            </w:pPr>
            <w:r w:rsidRPr="00CF3950">
              <w:rPr>
                <w:sz w:val="20"/>
              </w:rPr>
              <w:t>1.046.772,73</w:t>
            </w:r>
          </w:p>
        </w:tc>
      </w:tr>
      <w:tr w:rsidR="00CF3950" w:rsidRPr="00CF3950" w14:paraId="02F735D1"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6814341C" w14:textId="77777777" w:rsidR="00CF3950" w:rsidRPr="00CF3950" w:rsidRDefault="00CF3950" w:rsidP="00CF3950">
            <w:pPr>
              <w:spacing w:after="0" w:line="240" w:lineRule="auto"/>
              <w:jc w:val="center"/>
              <w:rPr>
                <w:sz w:val="20"/>
              </w:rPr>
            </w:pPr>
            <w:r w:rsidRPr="00CF3950">
              <w:rPr>
                <w:sz w:val="20"/>
              </w:rPr>
              <w:t>15.</w:t>
            </w:r>
          </w:p>
        </w:tc>
        <w:tc>
          <w:tcPr>
            <w:tcW w:w="4006" w:type="dxa"/>
            <w:tcBorders>
              <w:top w:val="nil"/>
              <w:left w:val="nil"/>
              <w:bottom w:val="single" w:sz="4" w:space="0" w:color="auto"/>
              <w:right w:val="single" w:sz="4" w:space="0" w:color="auto"/>
            </w:tcBorders>
            <w:vAlign w:val="center"/>
            <w:hideMark/>
          </w:tcPr>
          <w:p w14:paraId="6A2017A5" w14:textId="77777777" w:rsidR="00CF3950" w:rsidRPr="00CF3950" w:rsidRDefault="00CF3950" w:rsidP="00CF3950">
            <w:pPr>
              <w:spacing w:after="0" w:line="240" w:lineRule="auto"/>
              <w:rPr>
                <w:sz w:val="20"/>
              </w:rPr>
            </w:pPr>
            <w:r w:rsidRPr="00CF3950">
              <w:rPr>
                <w:sz w:val="20"/>
              </w:rPr>
              <w:t>Medicinska škola Varaždin</w:t>
            </w:r>
          </w:p>
        </w:tc>
        <w:tc>
          <w:tcPr>
            <w:tcW w:w="1051" w:type="dxa"/>
            <w:tcBorders>
              <w:top w:val="nil"/>
              <w:left w:val="nil"/>
              <w:bottom w:val="single" w:sz="4" w:space="0" w:color="auto"/>
              <w:right w:val="single" w:sz="4" w:space="0" w:color="auto"/>
            </w:tcBorders>
            <w:vAlign w:val="center"/>
            <w:hideMark/>
          </w:tcPr>
          <w:p w14:paraId="6C381059" w14:textId="77777777" w:rsidR="00CF3950" w:rsidRPr="00CF3950" w:rsidRDefault="00CF3950" w:rsidP="00CF3950">
            <w:pPr>
              <w:spacing w:after="0" w:line="240" w:lineRule="auto"/>
              <w:jc w:val="center"/>
              <w:rPr>
                <w:sz w:val="20"/>
              </w:rPr>
            </w:pPr>
            <w:r w:rsidRPr="00CF3950">
              <w:rPr>
                <w:sz w:val="20"/>
              </w:rPr>
              <w:t>Investicija</w:t>
            </w:r>
          </w:p>
        </w:tc>
        <w:tc>
          <w:tcPr>
            <w:tcW w:w="1151" w:type="dxa"/>
            <w:tcBorders>
              <w:top w:val="nil"/>
              <w:left w:val="nil"/>
              <w:bottom w:val="single" w:sz="4" w:space="0" w:color="auto"/>
              <w:right w:val="single" w:sz="4" w:space="0" w:color="auto"/>
            </w:tcBorders>
            <w:vAlign w:val="center"/>
            <w:hideMark/>
          </w:tcPr>
          <w:p w14:paraId="3DD80664" w14:textId="77777777" w:rsidR="00CF3950" w:rsidRPr="00CF3950" w:rsidRDefault="00CF3950" w:rsidP="00CF3950">
            <w:pPr>
              <w:spacing w:after="0" w:line="240" w:lineRule="auto"/>
              <w:jc w:val="center"/>
              <w:rPr>
                <w:sz w:val="20"/>
              </w:rPr>
            </w:pPr>
            <w:r w:rsidRPr="00CF3950">
              <w:rPr>
                <w:sz w:val="20"/>
              </w:rPr>
              <w:t>2022.</w:t>
            </w:r>
          </w:p>
        </w:tc>
        <w:tc>
          <w:tcPr>
            <w:tcW w:w="1367" w:type="dxa"/>
            <w:tcBorders>
              <w:top w:val="nil"/>
              <w:left w:val="nil"/>
              <w:bottom w:val="single" w:sz="4" w:space="0" w:color="auto"/>
              <w:right w:val="single" w:sz="4" w:space="0" w:color="auto"/>
            </w:tcBorders>
            <w:vAlign w:val="center"/>
            <w:hideMark/>
          </w:tcPr>
          <w:p w14:paraId="2379FF13" w14:textId="77777777" w:rsidR="00CF3950" w:rsidRPr="00CF3950" w:rsidRDefault="00CF3950" w:rsidP="00CF3950">
            <w:pPr>
              <w:spacing w:after="0" w:line="240" w:lineRule="auto"/>
              <w:jc w:val="right"/>
              <w:rPr>
                <w:b/>
                <w:bCs/>
                <w:sz w:val="20"/>
              </w:rPr>
            </w:pPr>
            <w:r w:rsidRPr="00CF3950">
              <w:rPr>
                <w:sz w:val="20"/>
              </w:rPr>
              <w:t>1.300.000,00</w:t>
            </w:r>
          </w:p>
        </w:tc>
        <w:tc>
          <w:tcPr>
            <w:tcW w:w="1167" w:type="dxa"/>
            <w:tcBorders>
              <w:top w:val="nil"/>
              <w:left w:val="nil"/>
              <w:bottom w:val="single" w:sz="4" w:space="0" w:color="auto"/>
              <w:right w:val="single" w:sz="4" w:space="0" w:color="auto"/>
            </w:tcBorders>
            <w:vAlign w:val="center"/>
            <w:hideMark/>
          </w:tcPr>
          <w:p w14:paraId="1A3B4017" w14:textId="77777777" w:rsidR="00CF3950" w:rsidRPr="00CF3950" w:rsidRDefault="00CF3950" w:rsidP="00CF3950">
            <w:pPr>
              <w:spacing w:after="0" w:line="240" w:lineRule="auto"/>
              <w:jc w:val="center"/>
              <w:rPr>
                <w:sz w:val="20"/>
              </w:rPr>
            </w:pPr>
            <w:r w:rsidRPr="00CF3950">
              <w:rPr>
                <w:sz w:val="20"/>
              </w:rPr>
              <w:t>01.11.2033.</w:t>
            </w:r>
          </w:p>
        </w:tc>
        <w:tc>
          <w:tcPr>
            <w:tcW w:w="1366" w:type="dxa"/>
            <w:tcBorders>
              <w:top w:val="nil"/>
              <w:left w:val="nil"/>
              <w:bottom w:val="single" w:sz="4" w:space="0" w:color="auto"/>
              <w:right w:val="single" w:sz="4" w:space="0" w:color="auto"/>
            </w:tcBorders>
            <w:vAlign w:val="center"/>
            <w:hideMark/>
          </w:tcPr>
          <w:p w14:paraId="6E167111" w14:textId="77777777" w:rsidR="00CF3950" w:rsidRPr="00CF3950" w:rsidRDefault="00CF3950" w:rsidP="00CF3950">
            <w:pPr>
              <w:spacing w:after="0" w:line="240" w:lineRule="auto"/>
              <w:jc w:val="right"/>
              <w:rPr>
                <w:b/>
                <w:bCs/>
                <w:sz w:val="20"/>
              </w:rPr>
            </w:pPr>
            <w:r w:rsidRPr="00CF3950">
              <w:rPr>
                <w:sz w:val="20"/>
              </w:rPr>
              <w:t>1.170.000,00</w:t>
            </w:r>
          </w:p>
        </w:tc>
        <w:tc>
          <w:tcPr>
            <w:tcW w:w="1267" w:type="dxa"/>
            <w:tcBorders>
              <w:top w:val="nil"/>
              <w:left w:val="nil"/>
              <w:bottom w:val="single" w:sz="4" w:space="0" w:color="auto"/>
              <w:right w:val="single" w:sz="4" w:space="0" w:color="auto"/>
            </w:tcBorders>
            <w:vAlign w:val="center"/>
            <w:hideMark/>
          </w:tcPr>
          <w:p w14:paraId="6DFC9AA6" w14:textId="77777777" w:rsidR="00CF3950" w:rsidRPr="00CF3950" w:rsidRDefault="00CF3950" w:rsidP="00CF3950">
            <w:pPr>
              <w:spacing w:after="0" w:line="240" w:lineRule="auto"/>
              <w:jc w:val="right"/>
              <w:rPr>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0EC5CDB7" w14:textId="77777777" w:rsidR="00CF3950" w:rsidRPr="00CF3950" w:rsidRDefault="00CF3950" w:rsidP="00CF3950">
            <w:pPr>
              <w:spacing w:after="0" w:line="240" w:lineRule="auto"/>
              <w:jc w:val="right"/>
              <w:rPr>
                <w:sz w:val="20"/>
              </w:rPr>
            </w:pPr>
            <w:r w:rsidRPr="00CF3950">
              <w:rPr>
                <w:sz w:val="20"/>
              </w:rPr>
              <w:t>130.000,00</w:t>
            </w:r>
          </w:p>
        </w:tc>
        <w:tc>
          <w:tcPr>
            <w:tcW w:w="1368" w:type="dxa"/>
            <w:tcBorders>
              <w:top w:val="nil"/>
              <w:left w:val="nil"/>
              <w:bottom w:val="single" w:sz="4" w:space="0" w:color="auto"/>
              <w:right w:val="single" w:sz="4" w:space="0" w:color="auto"/>
            </w:tcBorders>
            <w:vAlign w:val="center"/>
          </w:tcPr>
          <w:p w14:paraId="55719F40" w14:textId="77777777" w:rsidR="00CF3950" w:rsidRPr="00CF3950" w:rsidRDefault="00CF3950" w:rsidP="00CF3950">
            <w:pPr>
              <w:spacing w:after="0" w:line="240" w:lineRule="auto"/>
              <w:jc w:val="right"/>
              <w:rPr>
                <w:sz w:val="20"/>
              </w:rPr>
            </w:pPr>
            <w:r w:rsidRPr="00CF3950">
              <w:rPr>
                <w:sz w:val="20"/>
              </w:rPr>
              <w:t>1.040.000,00</w:t>
            </w:r>
          </w:p>
        </w:tc>
      </w:tr>
      <w:tr w:rsidR="00CF3950" w:rsidRPr="00CF3950" w14:paraId="441F41E8"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hideMark/>
          </w:tcPr>
          <w:p w14:paraId="60D8450D" w14:textId="77777777" w:rsidR="00CF3950" w:rsidRPr="00CF3950" w:rsidRDefault="00CF3950" w:rsidP="00CF3950">
            <w:pPr>
              <w:spacing w:after="0" w:line="240" w:lineRule="auto"/>
              <w:jc w:val="center"/>
              <w:rPr>
                <w:sz w:val="20"/>
              </w:rPr>
            </w:pPr>
            <w:r w:rsidRPr="00CF3950">
              <w:rPr>
                <w:sz w:val="20"/>
              </w:rPr>
              <w:t>16.</w:t>
            </w:r>
          </w:p>
        </w:tc>
        <w:tc>
          <w:tcPr>
            <w:tcW w:w="4006" w:type="dxa"/>
            <w:tcBorders>
              <w:top w:val="nil"/>
              <w:left w:val="nil"/>
              <w:bottom w:val="single" w:sz="4" w:space="0" w:color="auto"/>
              <w:right w:val="single" w:sz="4" w:space="0" w:color="auto"/>
            </w:tcBorders>
            <w:vAlign w:val="center"/>
            <w:hideMark/>
          </w:tcPr>
          <w:p w14:paraId="63DDF16B" w14:textId="77777777" w:rsidR="00CF3950" w:rsidRPr="00CF3950" w:rsidRDefault="00CF3950" w:rsidP="00CF3950">
            <w:pPr>
              <w:spacing w:after="0" w:line="240" w:lineRule="auto"/>
              <w:rPr>
                <w:sz w:val="20"/>
              </w:rPr>
            </w:pPr>
            <w:r w:rsidRPr="00CF3950">
              <w:rPr>
                <w:sz w:val="20"/>
              </w:rPr>
              <w:t>Srednja škola "Arboretum Opeka" Marčan</w:t>
            </w:r>
          </w:p>
        </w:tc>
        <w:tc>
          <w:tcPr>
            <w:tcW w:w="1051" w:type="dxa"/>
            <w:tcBorders>
              <w:top w:val="nil"/>
              <w:left w:val="nil"/>
              <w:bottom w:val="single" w:sz="4" w:space="0" w:color="auto"/>
              <w:right w:val="single" w:sz="4" w:space="0" w:color="auto"/>
            </w:tcBorders>
            <w:vAlign w:val="center"/>
            <w:hideMark/>
          </w:tcPr>
          <w:p w14:paraId="548383B7" w14:textId="77777777" w:rsidR="00CF3950" w:rsidRPr="00CF3950" w:rsidRDefault="00CF3950" w:rsidP="00CF3950">
            <w:pPr>
              <w:spacing w:after="0" w:line="240" w:lineRule="auto"/>
              <w:jc w:val="center"/>
              <w:rPr>
                <w:sz w:val="20"/>
              </w:rPr>
            </w:pPr>
            <w:r w:rsidRPr="00CF3950">
              <w:rPr>
                <w:sz w:val="20"/>
              </w:rPr>
              <w:t>Investicija</w:t>
            </w:r>
          </w:p>
        </w:tc>
        <w:tc>
          <w:tcPr>
            <w:tcW w:w="1151" w:type="dxa"/>
            <w:tcBorders>
              <w:top w:val="nil"/>
              <w:left w:val="nil"/>
              <w:bottom w:val="single" w:sz="4" w:space="0" w:color="auto"/>
              <w:right w:val="single" w:sz="4" w:space="0" w:color="auto"/>
            </w:tcBorders>
            <w:vAlign w:val="center"/>
            <w:hideMark/>
          </w:tcPr>
          <w:p w14:paraId="5460E842" w14:textId="77777777" w:rsidR="00CF3950" w:rsidRPr="00CF3950" w:rsidRDefault="00CF3950" w:rsidP="00CF3950">
            <w:pPr>
              <w:spacing w:after="0" w:line="240" w:lineRule="auto"/>
              <w:jc w:val="center"/>
              <w:rPr>
                <w:sz w:val="20"/>
              </w:rPr>
            </w:pPr>
            <w:r w:rsidRPr="00CF3950">
              <w:rPr>
                <w:sz w:val="20"/>
              </w:rPr>
              <w:t>2022.</w:t>
            </w:r>
          </w:p>
        </w:tc>
        <w:tc>
          <w:tcPr>
            <w:tcW w:w="1367" w:type="dxa"/>
            <w:tcBorders>
              <w:top w:val="nil"/>
              <w:left w:val="nil"/>
              <w:bottom w:val="single" w:sz="4" w:space="0" w:color="auto"/>
              <w:right w:val="single" w:sz="4" w:space="0" w:color="auto"/>
            </w:tcBorders>
            <w:vAlign w:val="center"/>
            <w:hideMark/>
          </w:tcPr>
          <w:p w14:paraId="24BB1195" w14:textId="77777777" w:rsidR="00CF3950" w:rsidRPr="00CF3950" w:rsidRDefault="00CF3950" w:rsidP="00CF3950">
            <w:pPr>
              <w:spacing w:after="0" w:line="240" w:lineRule="auto"/>
              <w:jc w:val="right"/>
              <w:rPr>
                <w:b/>
                <w:bCs/>
                <w:sz w:val="20"/>
              </w:rPr>
            </w:pPr>
            <w:r w:rsidRPr="00CF3950">
              <w:rPr>
                <w:sz w:val="20"/>
              </w:rPr>
              <w:t>1.300.000,00</w:t>
            </w:r>
          </w:p>
        </w:tc>
        <w:tc>
          <w:tcPr>
            <w:tcW w:w="1167" w:type="dxa"/>
            <w:tcBorders>
              <w:top w:val="nil"/>
              <w:left w:val="nil"/>
              <w:bottom w:val="single" w:sz="4" w:space="0" w:color="auto"/>
              <w:right w:val="single" w:sz="4" w:space="0" w:color="auto"/>
            </w:tcBorders>
            <w:vAlign w:val="center"/>
            <w:hideMark/>
          </w:tcPr>
          <w:p w14:paraId="379E404B" w14:textId="77777777" w:rsidR="00CF3950" w:rsidRPr="00CF3950" w:rsidRDefault="00CF3950" w:rsidP="00CF3950">
            <w:pPr>
              <w:spacing w:after="0" w:line="240" w:lineRule="auto"/>
              <w:jc w:val="center"/>
              <w:rPr>
                <w:sz w:val="20"/>
              </w:rPr>
            </w:pPr>
            <w:r w:rsidRPr="00CF3950">
              <w:rPr>
                <w:sz w:val="20"/>
              </w:rPr>
              <w:t>01.06.2034.</w:t>
            </w:r>
          </w:p>
        </w:tc>
        <w:tc>
          <w:tcPr>
            <w:tcW w:w="1366" w:type="dxa"/>
            <w:tcBorders>
              <w:top w:val="nil"/>
              <w:left w:val="nil"/>
              <w:bottom w:val="single" w:sz="4" w:space="0" w:color="auto"/>
              <w:right w:val="single" w:sz="4" w:space="0" w:color="auto"/>
            </w:tcBorders>
            <w:vAlign w:val="center"/>
            <w:hideMark/>
          </w:tcPr>
          <w:p w14:paraId="4D155BCE" w14:textId="77777777" w:rsidR="00CF3950" w:rsidRPr="00CF3950" w:rsidRDefault="00CF3950" w:rsidP="00CF3950">
            <w:pPr>
              <w:spacing w:after="0" w:line="240" w:lineRule="auto"/>
              <w:jc w:val="right"/>
              <w:rPr>
                <w:b/>
                <w:bCs/>
                <w:sz w:val="20"/>
              </w:rPr>
            </w:pPr>
            <w:r w:rsidRPr="00CF3950">
              <w:rPr>
                <w:sz w:val="20"/>
              </w:rPr>
              <w:t>1.300.000,00</w:t>
            </w:r>
          </w:p>
        </w:tc>
        <w:tc>
          <w:tcPr>
            <w:tcW w:w="1267" w:type="dxa"/>
            <w:tcBorders>
              <w:top w:val="nil"/>
              <w:left w:val="nil"/>
              <w:bottom w:val="single" w:sz="4" w:space="0" w:color="auto"/>
              <w:right w:val="single" w:sz="4" w:space="0" w:color="auto"/>
            </w:tcBorders>
            <w:vAlign w:val="center"/>
            <w:hideMark/>
          </w:tcPr>
          <w:p w14:paraId="476FD084" w14:textId="77777777" w:rsidR="00CF3950" w:rsidRPr="00CF3950" w:rsidRDefault="00CF3950" w:rsidP="00CF3950">
            <w:pPr>
              <w:spacing w:after="0" w:line="240" w:lineRule="auto"/>
              <w:jc w:val="right"/>
              <w:rPr>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279F3A43" w14:textId="77777777" w:rsidR="00CF3950" w:rsidRPr="00CF3950" w:rsidRDefault="00CF3950" w:rsidP="00CF3950">
            <w:pPr>
              <w:spacing w:after="0" w:line="240" w:lineRule="auto"/>
              <w:jc w:val="right"/>
              <w:rPr>
                <w:sz w:val="20"/>
              </w:rPr>
            </w:pPr>
            <w:r w:rsidRPr="00CF3950">
              <w:rPr>
                <w:sz w:val="20"/>
              </w:rPr>
              <w:t>130.000,00</w:t>
            </w:r>
          </w:p>
        </w:tc>
        <w:tc>
          <w:tcPr>
            <w:tcW w:w="1368" w:type="dxa"/>
            <w:tcBorders>
              <w:top w:val="nil"/>
              <w:left w:val="nil"/>
              <w:bottom w:val="single" w:sz="4" w:space="0" w:color="auto"/>
              <w:right w:val="single" w:sz="4" w:space="0" w:color="auto"/>
            </w:tcBorders>
            <w:vAlign w:val="center"/>
          </w:tcPr>
          <w:p w14:paraId="228ADBCE" w14:textId="77777777" w:rsidR="00CF3950" w:rsidRPr="00CF3950" w:rsidRDefault="00CF3950" w:rsidP="00CF3950">
            <w:pPr>
              <w:spacing w:after="0" w:line="240" w:lineRule="auto"/>
              <w:jc w:val="right"/>
              <w:rPr>
                <w:sz w:val="20"/>
              </w:rPr>
            </w:pPr>
            <w:r w:rsidRPr="00CF3950">
              <w:rPr>
                <w:sz w:val="20"/>
              </w:rPr>
              <w:t>1.170.000,00</w:t>
            </w:r>
          </w:p>
        </w:tc>
      </w:tr>
      <w:tr w:rsidR="00CF3950" w:rsidRPr="00CF3950" w14:paraId="0B7C80EE" w14:textId="77777777" w:rsidTr="009A6EBA">
        <w:trPr>
          <w:trHeight w:val="371"/>
          <w:jc w:val="center"/>
        </w:trPr>
        <w:tc>
          <w:tcPr>
            <w:tcW w:w="611" w:type="dxa"/>
            <w:tcBorders>
              <w:top w:val="nil"/>
              <w:left w:val="single" w:sz="4" w:space="0" w:color="auto"/>
              <w:bottom w:val="single" w:sz="4" w:space="0" w:color="auto"/>
              <w:right w:val="single" w:sz="4" w:space="0" w:color="auto"/>
            </w:tcBorders>
            <w:vAlign w:val="center"/>
          </w:tcPr>
          <w:p w14:paraId="7E303379" w14:textId="77777777" w:rsidR="00CF3950" w:rsidRPr="00CF3950" w:rsidRDefault="00CF3950" w:rsidP="00CF3950">
            <w:pPr>
              <w:spacing w:after="0" w:line="240" w:lineRule="auto"/>
              <w:jc w:val="center"/>
              <w:rPr>
                <w:sz w:val="20"/>
              </w:rPr>
            </w:pPr>
            <w:r w:rsidRPr="00CF3950">
              <w:rPr>
                <w:sz w:val="20"/>
              </w:rPr>
              <w:t>17.</w:t>
            </w:r>
          </w:p>
        </w:tc>
        <w:tc>
          <w:tcPr>
            <w:tcW w:w="4006" w:type="dxa"/>
            <w:tcBorders>
              <w:top w:val="nil"/>
              <w:left w:val="nil"/>
              <w:bottom w:val="single" w:sz="4" w:space="0" w:color="auto"/>
              <w:right w:val="single" w:sz="4" w:space="0" w:color="auto"/>
            </w:tcBorders>
            <w:vAlign w:val="center"/>
          </w:tcPr>
          <w:p w14:paraId="1A33B321" w14:textId="77777777" w:rsidR="00CF3950" w:rsidRPr="00CF3950" w:rsidRDefault="00CF3950" w:rsidP="00CF3950">
            <w:pPr>
              <w:spacing w:after="0" w:line="240" w:lineRule="auto"/>
              <w:rPr>
                <w:sz w:val="20"/>
              </w:rPr>
            </w:pPr>
            <w:r w:rsidRPr="00CF3950">
              <w:rPr>
                <w:sz w:val="20"/>
              </w:rPr>
              <w:t>Zavod za javno zdravstvo Varaždinske županije</w:t>
            </w:r>
          </w:p>
        </w:tc>
        <w:tc>
          <w:tcPr>
            <w:tcW w:w="1051" w:type="dxa"/>
            <w:tcBorders>
              <w:top w:val="nil"/>
              <w:left w:val="nil"/>
              <w:bottom w:val="single" w:sz="4" w:space="0" w:color="auto"/>
              <w:right w:val="single" w:sz="4" w:space="0" w:color="auto"/>
            </w:tcBorders>
            <w:vAlign w:val="center"/>
          </w:tcPr>
          <w:p w14:paraId="4C6BAA5E" w14:textId="77777777" w:rsidR="00CF3950" w:rsidRPr="00CF3950" w:rsidRDefault="00CF3950" w:rsidP="00CF3950">
            <w:pPr>
              <w:spacing w:after="0" w:line="240" w:lineRule="auto"/>
              <w:jc w:val="center"/>
              <w:rPr>
                <w:sz w:val="20"/>
              </w:rPr>
            </w:pPr>
            <w:r w:rsidRPr="00CF3950">
              <w:rPr>
                <w:sz w:val="20"/>
              </w:rPr>
              <w:t>Investicija</w:t>
            </w:r>
          </w:p>
        </w:tc>
        <w:tc>
          <w:tcPr>
            <w:tcW w:w="1151" w:type="dxa"/>
            <w:tcBorders>
              <w:top w:val="nil"/>
              <w:left w:val="nil"/>
              <w:bottom w:val="single" w:sz="4" w:space="0" w:color="auto"/>
              <w:right w:val="single" w:sz="4" w:space="0" w:color="auto"/>
            </w:tcBorders>
            <w:vAlign w:val="center"/>
          </w:tcPr>
          <w:p w14:paraId="5973A686" w14:textId="77777777" w:rsidR="00CF3950" w:rsidRPr="00CF3950" w:rsidRDefault="00CF3950" w:rsidP="00CF3950">
            <w:pPr>
              <w:spacing w:after="0" w:line="240" w:lineRule="auto"/>
              <w:jc w:val="center"/>
              <w:rPr>
                <w:sz w:val="20"/>
              </w:rPr>
            </w:pPr>
            <w:r w:rsidRPr="00CF3950">
              <w:rPr>
                <w:sz w:val="20"/>
              </w:rPr>
              <w:t>2025.</w:t>
            </w:r>
          </w:p>
        </w:tc>
        <w:tc>
          <w:tcPr>
            <w:tcW w:w="1367" w:type="dxa"/>
            <w:tcBorders>
              <w:top w:val="nil"/>
              <w:left w:val="nil"/>
              <w:bottom w:val="single" w:sz="4" w:space="0" w:color="auto"/>
              <w:right w:val="single" w:sz="4" w:space="0" w:color="auto"/>
            </w:tcBorders>
            <w:vAlign w:val="center"/>
          </w:tcPr>
          <w:p w14:paraId="44C83C5E" w14:textId="77777777" w:rsidR="00CF3950" w:rsidRPr="00CF3950" w:rsidRDefault="00CF3950" w:rsidP="00CF3950">
            <w:pPr>
              <w:spacing w:after="0" w:line="240" w:lineRule="auto"/>
              <w:jc w:val="right"/>
              <w:rPr>
                <w:b/>
                <w:bCs/>
                <w:sz w:val="20"/>
              </w:rPr>
            </w:pPr>
            <w:r w:rsidRPr="00CF3950">
              <w:rPr>
                <w:sz w:val="20"/>
              </w:rPr>
              <w:t>2.500.000,00</w:t>
            </w:r>
          </w:p>
        </w:tc>
        <w:tc>
          <w:tcPr>
            <w:tcW w:w="1167" w:type="dxa"/>
            <w:tcBorders>
              <w:top w:val="nil"/>
              <w:left w:val="nil"/>
              <w:bottom w:val="single" w:sz="4" w:space="0" w:color="auto"/>
              <w:right w:val="single" w:sz="4" w:space="0" w:color="auto"/>
            </w:tcBorders>
            <w:vAlign w:val="center"/>
          </w:tcPr>
          <w:p w14:paraId="50C0CC3F" w14:textId="77777777" w:rsidR="00CF3950" w:rsidRPr="00CF3950" w:rsidRDefault="00CF3950" w:rsidP="00CF3950">
            <w:pPr>
              <w:spacing w:after="0" w:line="240" w:lineRule="auto"/>
              <w:jc w:val="center"/>
              <w:rPr>
                <w:sz w:val="20"/>
              </w:rPr>
            </w:pPr>
            <w:r w:rsidRPr="00CF3950">
              <w:rPr>
                <w:sz w:val="20"/>
              </w:rPr>
              <w:t>31.12.2041.</w:t>
            </w:r>
          </w:p>
        </w:tc>
        <w:tc>
          <w:tcPr>
            <w:tcW w:w="1366" w:type="dxa"/>
            <w:tcBorders>
              <w:top w:val="nil"/>
              <w:left w:val="nil"/>
              <w:bottom w:val="single" w:sz="4" w:space="0" w:color="auto"/>
              <w:right w:val="single" w:sz="4" w:space="0" w:color="auto"/>
            </w:tcBorders>
            <w:vAlign w:val="center"/>
          </w:tcPr>
          <w:p w14:paraId="0F686E86" w14:textId="77777777" w:rsidR="00CF3950" w:rsidRPr="00CF3950" w:rsidRDefault="00CF3950" w:rsidP="00CF3950">
            <w:pPr>
              <w:spacing w:after="0" w:line="240" w:lineRule="auto"/>
              <w:jc w:val="right"/>
              <w:rPr>
                <w:b/>
                <w:bCs/>
                <w:sz w:val="20"/>
              </w:rPr>
            </w:pPr>
            <w:r w:rsidRPr="00CF3950">
              <w:rPr>
                <w:sz w:val="20"/>
              </w:rPr>
              <w:t>0,00</w:t>
            </w:r>
          </w:p>
        </w:tc>
        <w:tc>
          <w:tcPr>
            <w:tcW w:w="1267" w:type="dxa"/>
            <w:tcBorders>
              <w:top w:val="nil"/>
              <w:left w:val="nil"/>
              <w:bottom w:val="single" w:sz="4" w:space="0" w:color="auto"/>
              <w:right w:val="single" w:sz="4" w:space="0" w:color="auto"/>
            </w:tcBorders>
            <w:vAlign w:val="center"/>
          </w:tcPr>
          <w:p w14:paraId="3464B1CB" w14:textId="77777777" w:rsidR="00CF3950" w:rsidRPr="00CF3950" w:rsidRDefault="00CF3950" w:rsidP="00CF3950">
            <w:pPr>
              <w:spacing w:after="0" w:line="240" w:lineRule="auto"/>
              <w:jc w:val="right"/>
              <w:rPr>
                <w:sz w:val="20"/>
              </w:rPr>
            </w:pPr>
            <w:r w:rsidRPr="00CF3950">
              <w:rPr>
                <w:sz w:val="20"/>
              </w:rPr>
              <w:t>2.500.000,00</w:t>
            </w:r>
          </w:p>
        </w:tc>
        <w:tc>
          <w:tcPr>
            <w:tcW w:w="1267" w:type="dxa"/>
            <w:tcBorders>
              <w:top w:val="nil"/>
              <w:left w:val="nil"/>
              <w:bottom w:val="single" w:sz="4" w:space="0" w:color="auto"/>
              <w:right w:val="single" w:sz="4" w:space="0" w:color="auto"/>
            </w:tcBorders>
            <w:vAlign w:val="center"/>
          </w:tcPr>
          <w:p w14:paraId="16058B8B" w14:textId="77777777" w:rsidR="00CF3950" w:rsidRPr="00CF3950" w:rsidRDefault="00CF3950" w:rsidP="00CF3950">
            <w:pPr>
              <w:spacing w:after="0" w:line="240" w:lineRule="auto"/>
              <w:jc w:val="right"/>
              <w:rPr>
                <w:sz w:val="20"/>
              </w:rPr>
            </w:pPr>
            <w:r w:rsidRPr="00CF3950">
              <w:rPr>
                <w:sz w:val="20"/>
              </w:rPr>
              <w:t>0,00</w:t>
            </w:r>
          </w:p>
        </w:tc>
        <w:tc>
          <w:tcPr>
            <w:tcW w:w="1368" w:type="dxa"/>
            <w:tcBorders>
              <w:top w:val="nil"/>
              <w:left w:val="nil"/>
              <w:bottom w:val="single" w:sz="4" w:space="0" w:color="auto"/>
              <w:right w:val="single" w:sz="4" w:space="0" w:color="auto"/>
            </w:tcBorders>
            <w:vAlign w:val="center"/>
          </w:tcPr>
          <w:p w14:paraId="6DC72251" w14:textId="77777777" w:rsidR="00CF3950" w:rsidRPr="00CF3950" w:rsidRDefault="00CF3950" w:rsidP="00CF3950">
            <w:pPr>
              <w:spacing w:after="0" w:line="240" w:lineRule="auto"/>
              <w:jc w:val="right"/>
              <w:rPr>
                <w:sz w:val="20"/>
              </w:rPr>
            </w:pPr>
            <w:r w:rsidRPr="00CF3950">
              <w:rPr>
                <w:sz w:val="20"/>
              </w:rPr>
              <w:t>2.500.000,00</w:t>
            </w:r>
          </w:p>
        </w:tc>
      </w:tr>
      <w:tr w:rsidR="00CF3950" w:rsidRPr="00CF3950" w14:paraId="5855CAC8" w14:textId="77777777" w:rsidTr="009A6EBA">
        <w:trPr>
          <w:trHeight w:val="349"/>
          <w:jc w:val="center"/>
        </w:trPr>
        <w:tc>
          <w:tcPr>
            <w:tcW w:w="6819" w:type="dxa"/>
            <w:gridSpan w:val="4"/>
            <w:tcBorders>
              <w:top w:val="single" w:sz="4" w:space="0" w:color="auto"/>
              <w:left w:val="single" w:sz="4" w:space="0" w:color="auto"/>
              <w:bottom w:val="single" w:sz="4" w:space="0" w:color="auto"/>
              <w:right w:val="single" w:sz="4" w:space="0" w:color="auto"/>
            </w:tcBorders>
            <w:shd w:val="clear" w:color="000000" w:fill="FAE2D5" w:themeFill="accent2" w:themeFillTint="33"/>
            <w:noWrap/>
            <w:vAlign w:val="center"/>
            <w:hideMark/>
          </w:tcPr>
          <w:p w14:paraId="426AD58B" w14:textId="77777777" w:rsidR="00CF3950" w:rsidRPr="00CF3950" w:rsidRDefault="00CF3950" w:rsidP="00CF3950">
            <w:pPr>
              <w:spacing w:after="0" w:line="240" w:lineRule="auto"/>
              <w:jc w:val="center"/>
              <w:rPr>
                <w:b/>
                <w:bCs/>
                <w:i/>
                <w:iCs/>
                <w:sz w:val="20"/>
              </w:rPr>
            </w:pPr>
            <w:r w:rsidRPr="00CF3950">
              <w:rPr>
                <w:b/>
                <w:bCs/>
                <w:i/>
                <w:iCs/>
                <w:sz w:val="20"/>
              </w:rPr>
              <w:t>U K U P N O:</w:t>
            </w:r>
          </w:p>
        </w:tc>
        <w:tc>
          <w:tcPr>
            <w:tcW w:w="1367" w:type="dxa"/>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178F2059" w14:textId="77777777" w:rsidR="00CF3950" w:rsidRPr="00CF3950" w:rsidRDefault="00CF3950" w:rsidP="00CF3950">
            <w:pPr>
              <w:spacing w:after="0" w:line="240" w:lineRule="auto"/>
              <w:jc w:val="right"/>
              <w:rPr>
                <w:b/>
                <w:bCs/>
                <w:sz w:val="20"/>
              </w:rPr>
            </w:pPr>
            <w:r w:rsidRPr="00CF3950">
              <w:rPr>
                <w:b/>
                <w:bCs/>
                <w:sz w:val="20"/>
              </w:rPr>
              <w:t>29.945.737,27</w:t>
            </w:r>
          </w:p>
        </w:tc>
        <w:tc>
          <w:tcPr>
            <w:tcW w:w="1167" w:type="dxa"/>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68D8AA8E" w14:textId="77777777" w:rsidR="00CF3950" w:rsidRPr="00CF3950" w:rsidRDefault="00CF3950" w:rsidP="00CF3950">
            <w:pPr>
              <w:spacing w:after="0" w:line="240" w:lineRule="auto"/>
              <w:rPr>
                <w:b/>
                <w:bCs/>
                <w:sz w:val="20"/>
              </w:rPr>
            </w:pPr>
            <w:r w:rsidRPr="00CF3950">
              <w:rPr>
                <w:b/>
                <w:bCs/>
                <w:sz w:val="20"/>
              </w:rPr>
              <w:t> </w:t>
            </w:r>
          </w:p>
        </w:tc>
        <w:tc>
          <w:tcPr>
            <w:tcW w:w="1366" w:type="dxa"/>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5B13FA94" w14:textId="77777777" w:rsidR="00CF3950" w:rsidRPr="00CF3950" w:rsidRDefault="00CF3950" w:rsidP="00CF3950">
            <w:pPr>
              <w:spacing w:after="0" w:line="240" w:lineRule="auto"/>
              <w:jc w:val="right"/>
              <w:rPr>
                <w:b/>
                <w:bCs/>
                <w:sz w:val="20"/>
              </w:rPr>
            </w:pPr>
            <w:r w:rsidRPr="00CF3950">
              <w:rPr>
                <w:b/>
                <w:bCs/>
                <w:sz w:val="20"/>
              </w:rPr>
              <w:t>14.585.924,61</w:t>
            </w:r>
          </w:p>
        </w:tc>
        <w:tc>
          <w:tcPr>
            <w:tcW w:w="1267" w:type="dxa"/>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tcPr>
          <w:p w14:paraId="2880D64F" w14:textId="77777777" w:rsidR="00CF3950" w:rsidRPr="00CF3950" w:rsidRDefault="00CF3950" w:rsidP="00CF3950">
            <w:pPr>
              <w:spacing w:after="0" w:line="240" w:lineRule="auto"/>
              <w:jc w:val="right"/>
              <w:rPr>
                <w:b/>
                <w:bCs/>
                <w:sz w:val="20"/>
              </w:rPr>
            </w:pPr>
            <w:r w:rsidRPr="00CF3950">
              <w:rPr>
                <w:b/>
                <w:bCs/>
                <w:sz w:val="20"/>
              </w:rPr>
              <w:t>7.500.000,00</w:t>
            </w:r>
          </w:p>
        </w:tc>
        <w:tc>
          <w:tcPr>
            <w:tcW w:w="1267" w:type="dxa"/>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tcPr>
          <w:p w14:paraId="71AA66AB" w14:textId="77777777" w:rsidR="00CF3950" w:rsidRPr="00CF3950" w:rsidRDefault="00CF3950" w:rsidP="00CF3950">
            <w:pPr>
              <w:spacing w:after="0" w:line="240" w:lineRule="auto"/>
              <w:jc w:val="right"/>
              <w:rPr>
                <w:b/>
                <w:bCs/>
                <w:sz w:val="20"/>
              </w:rPr>
            </w:pPr>
            <w:r w:rsidRPr="00CF3950">
              <w:rPr>
                <w:b/>
                <w:bCs/>
                <w:sz w:val="20"/>
              </w:rPr>
              <w:t>2.027.073,80</w:t>
            </w:r>
          </w:p>
        </w:tc>
        <w:tc>
          <w:tcPr>
            <w:tcW w:w="1368" w:type="dxa"/>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tcPr>
          <w:p w14:paraId="3131A363" w14:textId="77777777" w:rsidR="00CF3950" w:rsidRPr="00CF3950" w:rsidRDefault="00CF3950" w:rsidP="00CF3950">
            <w:pPr>
              <w:spacing w:after="0" w:line="240" w:lineRule="auto"/>
              <w:jc w:val="right"/>
              <w:rPr>
                <w:b/>
                <w:bCs/>
                <w:sz w:val="20"/>
              </w:rPr>
            </w:pPr>
            <w:r w:rsidRPr="00CF3950">
              <w:rPr>
                <w:b/>
                <w:bCs/>
                <w:sz w:val="20"/>
              </w:rPr>
              <w:t>20.058.850,81</w:t>
            </w:r>
          </w:p>
        </w:tc>
      </w:tr>
    </w:tbl>
    <w:p w14:paraId="5CF4E7F0" w14:textId="526EEC60" w:rsidR="00CF3950" w:rsidRDefault="001D7229" w:rsidP="00CF3950">
      <w:pPr>
        <w:spacing w:after="0" w:line="240" w:lineRule="auto"/>
        <w:jc w:val="both"/>
        <w:rPr>
          <w:b/>
        </w:rPr>
      </w:pPr>
      <w:r w:rsidRPr="001D7229">
        <w:rPr>
          <w:b/>
        </w:rPr>
        <w:lastRenderedPageBreak/>
        <w:t>Pregled sudskih sporova u tijeku</w:t>
      </w:r>
    </w:p>
    <w:p w14:paraId="0F6B0F8E" w14:textId="77777777" w:rsidR="001D7229" w:rsidRPr="001D7229" w:rsidRDefault="001D7229" w:rsidP="00CF3950">
      <w:pPr>
        <w:spacing w:after="0" w:line="240" w:lineRule="auto"/>
        <w:jc w:val="both"/>
        <w:rPr>
          <w:b/>
        </w:rPr>
      </w:pPr>
    </w:p>
    <w:tbl>
      <w:tblPr>
        <w:tblW w:w="14332" w:type="dxa"/>
        <w:tblInd w:w="113" w:type="dxa"/>
        <w:tblLook w:val="04A0" w:firstRow="1" w:lastRow="0" w:firstColumn="1" w:lastColumn="0" w:noHBand="0" w:noVBand="1"/>
      </w:tblPr>
      <w:tblGrid>
        <w:gridCol w:w="871"/>
        <w:gridCol w:w="1247"/>
        <w:gridCol w:w="1434"/>
        <w:gridCol w:w="1399"/>
        <w:gridCol w:w="1292"/>
        <w:gridCol w:w="994"/>
        <w:gridCol w:w="1579"/>
        <w:gridCol w:w="1209"/>
        <w:gridCol w:w="4307"/>
      </w:tblGrid>
      <w:tr w:rsidR="001D7229" w:rsidRPr="001D7229" w14:paraId="510A1A12" w14:textId="77777777" w:rsidTr="006976E8">
        <w:trPr>
          <w:trHeight w:val="774"/>
        </w:trPr>
        <w:tc>
          <w:tcPr>
            <w:tcW w:w="871" w:type="dxa"/>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1940666C" w14:textId="77777777" w:rsidR="001D7229" w:rsidRPr="001D7229" w:rsidRDefault="001D7229" w:rsidP="001D7229">
            <w:pPr>
              <w:spacing w:after="0" w:line="240" w:lineRule="auto"/>
              <w:jc w:val="center"/>
              <w:rPr>
                <w:b/>
                <w:bCs/>
                <w:color w:val="000000"/>
                <w:sz w:val="20"/>
              </w:rPr>
            </w:pPr>
            <w:r w:rsidRPr="001D7229">
              <w:rPr>
                <w:b/>
                <w:bCs/>
                <w:color w:val="000000"/>
                <w:sz w:val="20"/>
              </w:rPr>
              <w:t>Red.br.</w:t>
            </w:r>
          </w:p>
        </w:tc>
        <w:tc>
          <w:tcPr>
            <w:tcW w:w="1247" w:type="dxa"/>
            <w:tcBorders>
              <w:top w:val="single" w:sz="4" w:space="0" w:color="auto"/>
              <w:left w:val="nil"/>
              <w:bottom w:val="single" w:sz="4" w:space="0" w:color="auto"/>
              <w:right w:val="single" w:sz="4" w:space="0" w:color="auto"/>
            </w:tcBorders>
            <w:shd w:val="clear" w:color="000000" w:fill="FAE2D5" w:themeFill="accent2" w:themeFillTint="33"/>
            <w:vAlign w:val="center"/>
            <w:hideMark/>
          </w:tcPr>
          <w:p w14:paraId="56A5FAAD" w14:textId="77777777" w:rsidR="001D7229" w:rsidRPr="001D7229" w:rsidRDefault="001D7229" w:rsidP="001D7229">
            <w:pPr>
              <w:spacing w:after="0" w:line="240" w:lineRule="auto"/>
              <w:jc w:val="center"/>
              <w:rPr>
                <w:b/>
                <w:bCs/>
                <w:color w:val="000000"/>
                <w:sz w:val="20"/>
              </w:rPr>
            </w:pPr>
            <w:r w:rsidRPr="001D7229">
              <w:rPr>
                <w:b/>
                <w:bCs/>
                <w:color w:val="000000"/>
                <w:sz w:val="20"/>
              </w:rPr>
              <w:t>Tuženik</w:t>
            </w:r>
          </w:p>
        </w:tc>
        <w:tc>
          <w:tcPr>
            <w:tcW w:w="1434" w:type="dxa"/>
            <w:tcBorders>
              <w:top w:val="single" w:sz="4" w:space="0" w:color="auto"/>
              <w:left w:val="nil"/>
              <w:bottom w:val="single" w:sz="4" w:space="0" w:color="auto"/>
              <w:right w:val="single" w:sz="4" w:space="0" w:color="auto"/>
            </w:tcBorders>
            <w:shd w:val="clear" w:color="000000" w:fill="FAE2D5" w:themeFill="accent2" w:themeFillTint="33"/>
            <w:vAlign w:val="center"/>
            <w:hideMark/>
          </w:tcPr>
          <w:p w14:paraId="388E9697" w14:textId="77777777" w:rsidR="001D7229" w:rsidRPr="001D7229" w:rsidRDefault="001D7229" w:rsidP="001D7229">
            <w:pPr>
              <w:spacing w:after="0" w:line="240" w:lineRule="auto"/>
              <w:jc w:val="center"/>
              <w:rPr>
                <w:b/>
                <w:bCs/>
                <w:color w:val="000000"/>
                <w:sz w:val="20"/>
              </w:rPr>
            </w:pPr>
            <w:r w:rsidRPr="001D7229">
              <w:rPr>
                <w:b/>
                <w:bCs/>
                <w:color w:val="000000"/>
                <w:sz w:val="20"/>
              </w:rPr>
              <w:t>Tužitelj</w:t>
            </w:r>
          </w:p>
        </w:tc>
        <w:tc>
          <w:tcPr>
            <w:tcW w:w="1399" w:type="dxa"/>
            <w:tcBorders>
              <w:top w:val="single" w:sz="4" w:space="0" w:color="auto"/>
              <w:left w:val="nil"/>
              <w:bottom w:val="single" w:sz="4" w:space="0" w:color="auto"/>
              <w:right w:val="single" w:sz="4" w:space="0" w:color="auto"/>
            </w:tcBorders>
            <w:shd w:val="clear" w:color="000000" w:fill="FAE2D5" w:themeFill="accent2" w:themeFillTint="33"/>
            <w:vAlign w:val="center"/>
            <w:hideMark/>
          </w:tcPr>
          <w:p w14:paraId="5133ED3B" w14:textId="77777777" w:rsidR="001D7229" w:rsidRPr="001D7229" w:rsidRDefault="001D7229" w:rsidP="001D7229">
            <w:pPr>
              <w:spacing w:after="0" w:line="240" w:lineRule="auto"/>
              <w:jc w:val="center"/>
              <w:rPr>
                <w:b/>
                <w:bCs/>
                <w:color w:val="000000"/>
                <w:sz w:val="20"/>
              </w:rPr>
            </w:pPr>
            <w:r w:rsidRPr="001D7229">
              <w:rPr>
                <w:b/>
                <w:bCs/>
                <w:color w:val="000000"/>
                <w:sz w:val="20"/>
              </w:rPr>
              <w:t>Priroda spora</w:t>
            </w:r>
            <w:r w:rsidRPr="001D7229">
              <w:rPr>
                <w:b/>
                <w:bCs/>
                <w:color w:val="000000"/>
                <w:sz w:val="20"/>
                <w:vertAlign w:val="superscript"/>
              </w:rPr>
              <w:t>1</w:t>
            </w:r>
          </w:p>
        </w:tc>
        <w:tc>
          <w:tcPr>
            <w:tcW w:w="1291" w:type="dxa"/>
            <w:tcBorders>
              <w:top w:val="single" w:sz="4" w:space="0" w:color="auto"/>
              <w:left w:val="nil"/>
              <w:bottom w:val="single" w:sz="4" w:space="0" w:color="auto"/>
              <w:right w:val="single" w:sz="4" w:space="0" w:color="auto"/>
            </w:tcBorders>
            <w:shd w:val="clear" w:color="000000" w:fill="FAE2D5" w:themeFill="accent2" w:themeFillTint="33"/>
            <w:vAlign w:val="center"/>
            <w:hideMark/>
          </w:tcPr>
          <w:p w14:paraId="5020CA1F" w14:textId="77777777" w:rsidR="001D7229" w:rsidRPr="001D7229" w:rsidRDefault="001D7229" w:rsidP="001D7229">
            <w:pPr>
              <w:spacing w:after="0" w:line="240" w:lineRule="auto"/>
              <w:jc w:val="center"/>
              <w:rPr>
                <w:b/>
                <w:bCs/>
                <w:color w:val="000000"/>
                <w:sz w:val="20"/>
              </w:rPr>
            </w:pPr>
            <w:r w:rsidRPr="001D7229">
              <w:rPr>
                <w:b/>
                <w:bCs/>
                <w:color w:val="000000"/>
                <w:sz w:val="20"/>
              </w:rPr>
              <w:t>Iznos tužbenog zahtjeva bez zatez. kamata</w:t>
            </w:r>
          </w:p>
        </w:tc>
        <w:tc>
          <w:tcPr>
            <w:tcW w:w="994" w:type="dxa"/>
            <w:tcBorders>
              <w:top w:val="single" w:sz="4" w:space="0" w:color="auto"/>
              <w:left w:val="nil"/>
              <w:bottom w:val="single" w:sz="4" w:space="0" w:color="auto"/>
              <w:right w:val="single" w:sz="4" w:space="0" w:color="auto"/>
            </w:tcBorders>
            <w:shd w:val="clear" w:color="000000" w:fill="FAE2D5" w:themeFill="accent2" w:themeFillTint="33"/>
            <w:vAlign w:val="center"/>
            <w:hideMark/>
          </w:tcPr>
          <w:p w14:paraId="14F6F15D" w14:textId="77777777" w:rsidR="001D7229" w:rsidRPr="001D7229" w:rsidRDefault="001D7229" w:rsidP="001D7229">
            <w:pPr>
              <w:spacing w:after="0" w:line="240" w:lineRule="auto"/>
              <w:jc w:val="center"/>
              <w:rPr>
                <w:b/>
                <w:bCs/>
                <w:color w:val="000000"/>
                <w:sz w:val="20"/>
              </w:rPr>
            </w:pPr>
            <w:r w:rsidRPr="001D7229">
              <w:rPr>
                <w:b/>
                <w:bCs/>
                <w:color w:val="000000"/>
                <w:sz w:val="20"/>
              </w:rPr>
              <w:t>Procjena financ. učinka</w:t>
            </w:r>
            <w:r w:rsidRPr="001D7229">
              <w:rPr>
                <w:b/>
                <w:bCs/>
                <w:color w:val="000000"/>
                <w:sz w:val="20"/>
                <w:vertAlign w:val="superscript"/>
              </w:rPr>
              <w:t>2</w:t>
            </w:r>
          </w:p>
        </w:tc>
        <w:tc>
          <w:tcPr>
            <w:tcW w:w="1579" w:type="dxa"/>
            <w:tcBorders>
              <w:top w:val="single" w:sz="4" w:space="0" w:color="auto"/>
              <w:left w:val="nil"/>
              <w:bottom w:val="single" w:sz="4" w:space="0" w:color="auto"/>
              <w:right w:val="single" w:sz="4" w:space="0" w:color="auto"/>
            </w:tcBorders>
            <w:shd w:val="clear" w:color="000000" w:fill="FAE2D5" w:themeFill="accent2" w:themeFillTint="33"/>
            <w:vAlign w:val="center"/>
            <w:hideMark/>
          </w:tcPr>
          <w:p w14:paraId="6096380D" w14:textId="77777777" w:rsidR="001D7229" w:rsidRPr="001D7229" w:rsidRDefault="001D7229" w:rsidP="001D7229">
            <w:pPr>
              <w:spacing w:after="0" w:line="240" w:lineRule="auto"/>
              <w:jc w:val="center"/>
              <w:rPr>
                <w:b/>
                <w:bCs/>
                <w:color w:val="000000"/>
                <w:sz w:val="20"/>
              </w:rPr>
            </w:pPr>
            <w:r w:rsidRPr="001D7229">
              <w:rPr>
                <w:b/>
                <w:bCs/>
                <w:color w:val="000000"/>
                <w:sz w:val="20"/>
              </w:rPr>
              <w:t>Procijenjeno vrijeme odljeva/priljeva sredstava</w:t>
            </w:r>
            <w:r w:rsidRPr="001D7229">
              <w:rPr>
                <w:b/>
                <w:bCs/>
                <w:color w:val="000000"/>
                <w:sz w:val="20"/>
                <w:vertAlign w:val="superscript"/>
              </w:rPr>
              <w:t>3</w:t>
            </w:r>
          </w:p>
        </w:tc>
        <w:tc>
          <w:tcPr>
            <w:tcW w:w="1209" w:type="dxa"/>
            <w:tcBorders>
              <w:top w:val="single" w:sz="4" w:space="0" w:color="auto"/>
              <w:left w:val="nil"/>
              <w:bottom w:val="single" w:sz="4" w:space="0" w:color="auto"/>
              <w:right w:val="single" w:sz="4" w:space="0" w:color="auto"/>
            </w:tcBorders>
            <w:shd w:val="clear" w:color="000000" w:fill="FAE2D5" w:themeFill="accent2" w:themeFillTint="33"/>
            <w:vAlign w:val="center"/>
            <w:hideMark/>
          </w:tcPr>
          <w:p w14:paraId="7DF13E8F" w14:textId="77777777" w:rsidR="001D7229" w:rsidRPr="001D7229" w:rsidRDefault="001D7229" w:rsidP="001D7229">
            <w:pPr>
              <w:spacing w:after="0" w:line="240" w:lineRule="auto"/>
              <w:jc w:val="center"/>
              <w:rPr>
                <w:b/>
                <w:bCs/>
                <w:color w:val="000000"/>
                <w:sz w:val="20"/>
              </w:rPr>
            </w:pPr>
            <w:r w:rsidRPr="001D7229">
              <w:rPr>
                <w:b/>
                <w:bCs/>
                <w:color w:val="000000"/>
                <w:sz w:val="20"/>
              </w:rPr>
              <w:t>Početak sudskog spora</w:t>
            </w:r>
          </w:p>
        </w:tc>
        <w:tc>
          <w:tcPr>
            <w:tcW w:w="4307" w:type="dxa"/>
            <w:tcBorders>
              <w:top w:val="single" w:sz="4" w:space="0" w:color="auto"/>
              <w:left w:val="nil"/>
              <w:bottom w:val="single" w:sz="4" w:space="0" w:color="auto"/>
              <w:right w:val="single" w:sz="4" w:space="0" w:color="auto"/>
            </w:tcBorders>
            <w:shd w:val="clear" w:color="000000" w:fill="FAE2D5" w:themeFill="accent2" w:themeFillTint="33"/>
            <w:vAlign w:val="center"/>
            <w:hideMark/>
          </w:tcPr>
          <w:p w14:paraId="2AF9ED1C" w14:textId="77777777" w:rsidR="001D7229" w:rsidRPr="001D7229" w:rsidRDefault="001D7229" w:rsidP="001D7229">
            <w:pPr>
              <w:spacing w:after="0" w:line="240" w:lineRule="auto"/>
              <w:jc w:val="center"/>
              <w:rPr>
                <w:b/>
                <w:bCs/>
                <w:color w:val="000000"/>
                <w:sz w:val="20"/>
              </w:rPr>
            </w:pPr>
            <w:r w:rsidRPr="001D7229">
              <w:rPr>
                <w:b/>
                <w:bCs/>
                <w:color w:val="000000"/>
                <w:sz w:val="20"/>
              </w:rPr>
              <w:t>Napomena</w:t>
            </w:r>
          </w:p>
        </w:tc>
      </w:tr>
      <w:tr w:rsidR="001D7229" w:rsidRPr="001D7229" w14:paraId="7DA21E98" w14:textId="77777777" w:rsidTr="00166285">
        <w:trPr>
          <w:trHeight w:val="1377"/>
        </w:trPr>
        <w:tc>
          <w:tcPr>
            <w:tcW w:w="871" w:type="dxa"/>
            <w:tcBorders>
              <w:top w:val="nil"/>
              <w:left w:val="single" w:sz="4" w:space="0" w:color="auto"/>
              <w:bottom w:val="single" w:sz="4" w:space="0" w:color="auto"/>
              <w:right w:val="single" w:sz="4" w:space="0" w:color="auto"/>
            </w:tcBorders>
            <w:vAlign w:val="center"/>
            <w:hideMark/>
          </w:tcPr>
          <w:p w14:paraId="0B9708A6" w14:textId="77777777" w:rsidR="001D7229" w:rsidRPr="001D7229" w:rsidRDefault="001D7229" w:rsidP="001D7229">
            <w:pPr>
              <w:spacing w:after="0" w:line="240" w:lineRule="auto"/>
              <w:rPr>
                <w:color w:val="000000"/>
                <w:sz w:val="20"/>
              </w:rPr>
            </w:pPr>
            <w:r w:rsidRPr="001D7229">
              <w:rPr>
                <w:color w:val="000000"/>
                <w:sz w:val="20"/>
              </w:rPr>
              <w:t>1</w:t>
            </w:r>
          </w:p>
        </w:tc>
        <w:tc>
          <w:tcPr>
            <w:tcW w:w="1247" w:type="dxa"/>
            <w:tcBorders>
              <w:top w:val="nil"/>
              <w:left w:val="nil"/>
              <w:bottom w:val="single" w:sz="4" w:space="0" w:color="auto"/>
              <w:right w:val="single" w:sz="4" w:space="0" w:color="auto"/>
            </w:tcBorders>
            <w:vAlign w:val="center"/>
            <w:hideMark/>
          </w:tcPr>
          <w:p w14:paraId="3C336F31" w14:textId="77777777" w:rsidR="001D7229" w:rsidRPr="001D7229" w:rsidRDefault="001D7229" w:rsidP="001D7229">
            <w:pPr>
              <w:spacing w:after="0" w:line="240" w:lineRule="auto"/>
              <w:rPr>
                <w:color w:val="000000"/>
                <w:sz w:val="20"/>
              </w:rPr>
            </w:pPr>
            <w:r w:rsidRPr="001D7229">
              <w:rPr>
                <w:color w:val="000000"/>
                <w:sz w:val="20"/>
              </w:rPr>
              <w:t>Fizička osoba</w:t>
            </w:r>
          </w:p>
        </w:tc>
        <w:tc>
          <w:tcPr>
            <w:tcW w:w="1434" w:type="dxa"/>
            <w:tcBorders>
              <w:top w:val="nil"/>
              <w:left w:val="nil"/>
              <w:bottom w:val="single" w:sz="4" w:space="0" w:color="auto"/>
              <w:right w:val="single" w:sz="4" w:space="0" w:color="auto"/>
            </w:tcBorders>
            <w:vAlign w:val="center"/>
            <w:hideMark/>
          </w:tcPr>
          <w:p w14:paraId="1C3D8F0F" w14:textId="77777777" w:rsidR="001D7229" w:rsidRPr="001D7229" w:rsidRDefault="001D7229" w:rsidP="001D7229">
            <w:pPr>
              <w:spacing w:after="0" w:line="240" w:lineRule="auto"/>
              <w:rPr>
                <w:color w:val="000000"/>
                <w:sz w:val="20"/>
              </w:rPr>
            </w:pPr>
            <w:r w:rsidRPr="001D7229">
              <w:rPr>
                <w:color w:val="000000"/>
                <w:sz w:val="20"/>
              </w:rPr>
              <w:t>Varaždinska županija</w:t>
            </w:r>
          </w:p>
        </w:tc>
        <w:tc>
          <w:tcPr>
            <w:tcW w:w="1399" w:type="dxa"/>
            <w:tcBorders>
              <w:top w:val="nil"/>
              <w:left w:val="nil"/>
              <w:bottom w:val="single" w:sz="4" w:space="0" w:color="auto"/>
              <w:right w:val="single" w:sz="4" w:space="0" w:color="auto"/>
            </w:tcBorders>
            <w:vAlign w:val="center"/>
            <w:hideMark/>
          </w:tcPr>
          <w:p w14:paraId="00A5E747" w14:textId="77777777" w:rsidR="001D7229" w:rsidRPr="001D7229" w:rsidRDefault="001D7229" w:rsidP="001D7229">
            <w:pPr>
              <w:spacing w:after="0" w:line="240" w:lineRule="auto"/>
              <w:rPr>
                <w:color w:val="000000"/>
                <w:sz w:val="20"/>
              </w:rPr>
            </w:pPr>
            <w:r w:rsidRPr="001D7229">
              <w:rPr>
                <w:color w:val="000000"/>
                <w:sz w:val="20"/>
              </w:rPr>
              <w:t>ovršni</w:t>
            </w:r>
          </w:p>
        </w:tc>
        <w:tc>
          <w:tcPr>
            <w:tcW w:w="1291" w:type="dxa"/>
            <w:tcBorders>
              <w:top w:val="nil"/>
              <w:left w:val="nil"/>
              <w:bottom w:val="single" w:sz="4" w:space="0" w:color="auto"/>
              <w:right w:val="single" w:sz="4" w:space="0" w:color="auto"/>
            </w:tcBorders>
            <w:noWrap/>
            <w:vAlign w:val="center"/>
            <w:hideMark/>
          </w:tcPr>
          <w:p w14:paraId="77A64470" w14:textId="77777777" w:rsidR="001D7229" w:rsidRPr="001D7229" w:rsidRDefault="001D7229" w:rsidP="001D7229">
            <w:pPr>
              <w:spacing w:after="0" w:line="240" w:lineRule="auto"/>
              <w:jc w:val="right"/>
              <w:rPr>
                <w:color w:val="000000"/>
                <w:sz w:val="20"/>
              </w:rPr>
            </w:pPr>
            <w:r w:rsidRPr="001D7229">
              <w:rPr>
                <w:color w:val="000000"/>
                <w:sz w:val="20"/>
              </w:rPr>
              <w:t>3.865,51</w:t>
            </w:r>
          </w:p>
        </w:tc>
        <w:tc>
          <w:tcPr>
            <w:tcW w:w="994" w:type="dxa"/>
            <w:tcBorders>
              <w:top w:val="nil"/>
              <w:left w:val="nil"/>
              <w:bottom w:val="single" w:sz="4" w:space="0" w:color="auto"/>
              <w:right w:val="single" w:sz="4" w:space="0" w:color="auto"/>
            </w:tcBorders>
            <w:vAlign w:val="center"/>
            <w:hideMark/>
          </w:tcPr>
          <w:p w14:paraId="409C7EFD" w14:textId="77777777" w:rsidR="001D7229" w:rsidRPr="001D7229" w:rsidRDefault="001D7229" w:rsidP="001D7229">
            <w:pPr>
              <w:spacing w:after="0" w:line="240" w:lineRule="auto"/>
              <w:jc w:val="right"/>
              <w:rPr>
                <w:color w:val="000000"/>
                <w:sz w:val="20"/>
              </w:rPr>
            </w:pPr>
            <w:r w:rsidRPr="001D7229">
              <w:rPr>
                <w:color w:val="000000"/>
                <w:sz w:val="20"/>
              </w:rPr>
              <w:t>3.865,51</w:t>
            </w:r>
          </w:p>
        </w:tc>
        <w:tc>
          <w:tcPr>
            <w:tcW w:w="1579" w:type="dxa"/>
            <w:tcBorders>
              <w:top w:val="nil"/>
              <w:left w:val="nil"/>
              <w:bottom w:val="single" w:sz="4" w:space="0" w:color="auto"/>
              <w:right w:val="single" w:sz="4" w:space="0" w:color="auto"/>
            </w:tcBorders>
            <w:vAlign w:val="center"/>
            <w:hideMark/>
          </w:tcPr>
          <w:p w14:paraId="4EC0907E" w14:textId="77777777" w:rsidR="001D7229" w:rsidRPr="001D7229" w:rsidRDefault="001D7229" w:rsidP="001D7229">
            <w:pPr>
              <w:spacing w:after="0" w:line="240" w:lineRule="auto"/>
              <w:jc w:val="center"/>
              <w:rPr>
                <w:color w:val="000000"/>
                <w:sz w:val="20"/>
              </w:rPr>
            </w:pPr>
            <w:r w:rsidRPr="001D7229">
              <w:rPr>
                <w:color w:val="000000"/>
                <w:sz w:val="20"/>
              </w:rPr>
              <w:t>2 godine</w:t>
            </w:r>
          </w:p>
        </w:tc>
        <w:tc>
          <w:tcPr>
            <w:tcW w:w="1209" w:type="dxa"/>
            <w:tcBorders>
              <w:top w:val="nil"/>
              <w:left w:val="nil"/>
              <w:bottom w:val="single" w:sz="4" w:space="0" w:color="auto"/>
              <w:right w:val="single" w:sz="4" w:space="0" w:color="auto"/>
            </w:tcBorders>
            <w:vAlign w:val="center"/>
            <w:hideMark/>
          </w:tcPr>
          <w:p w14:paraId="4C7410C8" w14:textId="77777777" w:rsidR="001D7229" w:rsidRPr="001D7229" w:rsidRDefault="001D7229" w:rsidP="001D7229">
            <w:pPr>
              <w:spacing w:after="0" w:line="240" w:lineRule="auto"/>
              <w:jc w:val="center"/>
              <w:rPr>
                <w:color w:val="000000"/>
                <w:sz w:val="18"/>
                <w:szCs w:val="18"/>
              </w:rPr>
            </w:pPr>
            <w:r w:rsidRPr="001D7229">
              <w:rPr>
                <w:color w:val="000000"/>
                <w:sz w:val="18"/>
                <w:szCs w:val="18"/>
              </w:rPr>
              <w:t>prijedlog za ovrhu na temelju vjerodostojne isprave podnesen je 2. svibnja 2024.</w:t>
            </w:r>
          </w:p>
        </w:tc>
        <w:tc>
          <w:tcPr>
            <w:tcW w:w="4307" w:type="dxa"/>
            <w:tcBorders>
              <w:top w:val="nil"/>
              <w:left w:val="nil"/>
              <w:bottom w:val="single" w:sz="4" w:space="0" w:color="auto"/>
              <w:right w:val="single" w:sz="4" w:space="0" w:color="auto"/>
            </w:tcBorders>
            <w:vAlign w:val="center"/>
            <w:hideMark/>
          </w:tcPr>
          <w:p w14:paraId="1BB4AEC9" w14:textId="77777777" w:rsidR="001D7229" w:rsidRPr="001D7229" w:rsidRDefault="001D7229" w:rsidP="001D7229">
            <w:pPr>
              <w:spacing w:after="0" w:line="240" w:lineRule="auto"/>
              <w:rPr>
                <w:color w:val="000000"/>
                <w:sz w:val="20"/>
              </w:rPr>
            </w:pPr>
            <w:r w:rsidRPr="001D7229">
              <w:rPr>
                <w:color w:val="000000"/>
                <w:sz w:val="20"/>
              </w:rPr>
              <w:t>Rješenje o ovrsi doneseno je 5. srpnja 2024. Ovršenik je podnio prigovor na rješenje o ovrsi 15. srpnja 2024. te je rješenje o ovrsi stavljeno izvan snage. Pripremno ročište zakazano je za 4. ožujka 2026.</w:t>
            </w:r>
          </w:p>
        </w:tc>
      </w:tr>
      <w:tr w:rsidR="001D7229" w:rsidRPr="001D7229" w14:paraId="0B65D2D0" w14:textId="77777777" w:rsidTr="00166285">
        <w:trPr>
          <w:trHeight w:val="182"/>
        </w:trPr>
        <w:tc>
          <w:tcPr>
            <w:tcW w:w="3552"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F7CBBA8" w14:textId="77777777" w:rsidR="001D7229" w:rsidRPr="001D7229" w:rsidRDefault="001D7229" w:rsidP="001D7229">
            <w:pPr>
              <w:spacing w:after="0" w:line="240" w:lineRule="auto"/>
              <w:rPr>
                <w:b/>
                <w:bCs/>
                <w:color w:val="000000"/>
                <w:sz w:val="20"/>
              </w:rPr>
            </w:pPr>
            <w:r w:rsidRPr="001D7229">
              <w:rPr>
                <w:b/>
                <w:bCs/>
                <w:color w:val="000000"/>
                <w:sz w:val="20"/>
              </w:rPr>
              <w:t>UKUPNO ŽUPANIJA TUŽITELJ</w:t>
            </w:r>
          </w:p>
        </w:tc>
        <w:tc>
          <w:tcPr>
            <w:tcW w:w="1399" w:type="dxa"/>
            <w:tcBorders>
              <w:top w:val="nil"/>
              <w:left w:val="nil"/>
              <w:bottom w:val="single" w:sz="4" w:space="0" w:color="auto"/>
              <w:right w:val="single" w:sz="4" w:space="0" w:color="auto"/>
            </w:tcBorders>
            <w:shd w:val="clear" w:color="000000" w:fill="FCE4D6"/>
            <w:vAlign w:val="center"/>
            <w:hideMark/>
          </w:tcPr>
          <w:p w14:paraId="7F380168" w14:textId="77777777" w:rsidR="001D7229" w:rsidRPr="001D7229" w:rsidRDefault="001D7229" w:rsidP="001D7229">
            <w:pPr>
              <w:spacing w:after="0" w:line="240" w:lineRule="auto"/>
              <w:rPr>
                <w:b/>
                <w:bCs/>
                <w:color w:val="000000"/>
                <w:sz w:val="20"/>
              </w:rPr>
            </w:pPr>
            <w:r w:rsidRPr="001D7229">
              <w:rPr>
                <w:b/>
                <w:bCs/>
                <w:color w:val="000000"/>
                <w:sz w:val="20"/>
              </w:rPr>
              <w:t> </w:t>
            </w:r>
          </w:p>
        </w:tc>
        <w:tc>
          <w:tcPr>
            <w:tcW w:w="1291" w:type="dxa"/>
            <w:tcBorders>
              <w:top w:val="nil"/>
              <w:left w:val="nil"/>
              <w:bottom w:val="single" w:sz="4" w:space="0" w:color="auto"/>
              <w:right w:val="single" w:sz="4" w:space="0" w:color="auto"/>
            </w:tcBorders>
            <w:shd w:val="clear" w:color="000000" w:fill="FCE4D6"/>
            <w:noWrap/>
            <w:vAlign w:val="center"/>
            <w:hideMark/>
          </w:tcPr>
          <w:p w14:paraId="229AE9C5" w14:textId="77777777" w:rsidR="001D7229" w:rsidRPr="001D7229" w:rsidRDefault="001D7229" w:rsidP="001D7229">
            <w:pPr>
              <w:spacing w:after="0" w:line="240" w:lineRule="auto"/>
              <w:jc w:val="right"/>
              <w:rPr>
                <w:b/>
                <w:bCs/>
                <w:color w:val="000000"/>
                <w:sz w:val="20"/>
              </w:rPr>
            </w:pPr>
            <w:r w:rsidRPr="001D7229">
              <w:rPr>
                <w:b/>
                <w:bCs/>
                <w:color w:val="000000"/>
                <w:sz w:val="20"/>
              </w:rPr>
              <w:t>3.865,51</w:t>
            </w:r>
          </w:p>
        </w:tc>
        <w:tc>
          <w:tcPr>
            <w:tcW w:w="994" w:type="dxa"/>
            <w:tcBorders>
              <w:top w:val="nil"/>
              <w:left w:val="nil"/>
              <w:bottom w:val="single" w:sz="4" w:space="0" w:color="auto"/>
              <w:right w:val="single" w:sz="4" w:space="0" w:color="auto"/>
            </w:tcBorders>
            <w:shd w:val="clear" w:color="000000" w:fill="FCE4D6"/>
            <w:noWrap/>
            <w:vAlign w:val="center"/>
            <w:hideMark/>
          </w:tcPr>
          <w:p w14:paraId="2C06EF21" w14:textId="77777777" w:rsidR="001D7229" w:rsidRPr="001D7229" w:rsidRDefault="001D7229" w:rsidP="001D7229">
            <w:pPr>
              <w:spacing w:after="0" w:line="240" w:lineRule="auto"/>
              <w:jc w:val="right"/>
              <w:rPr>
                <w:b/>
                <w:bCs/>
                <w:color w:val="000000"/>
                <w:sz w:val="20"/>
              </w:rPr>
            </w:pPr>
            <w:r w:rsidRPr="001D7229">
              <w:rPr>
                <w:b/>
                <w:bCs/>
                <w:color w:val="000000"/>
                <w:sz w:val="20"/>
              </w:rPr>
              <w:t>3.865,51</w:t>
            </w:r>
          </w:p>
        </w:tc>
        <w:tc>
          <w:tcPr>
            <w:tcW w:w="1579" w:type="dxa"/>
            <w:tcBorders>
              <w:top w:val="nil"/>
              <w:left w:val="nil"/>
              <w:bottom w:val="single" w:sz="4" w:space="0" w:color="auto"/>
              <w:right w:val="single" w:sz="4" w:space="0" w:color="auto"/>
            </w:tcBorders>
            <w:shd w:val="clear" w:color="000000" w:fill="FCE4D6"/>
            <w:vAlign w:val="center"/>
            <w:hideMark/>
          </w:tcPr>
          <w:p w14:paraId="2110802F" w14:textId="77777777" w:rsidR="001D7229" w:rsidRPr="001D7229" w:rsidRDefault="001D7229" w:rsidP="001D7229">
            <w:pPr>
              <w:spacing w:after="0" w:line="240" w:lineRule="auto"/>
              <w:jc w:val="center"/>
              <w:rPr>
                <w:b/>
                <w:bCs/>
                <w:color w:val="000000"/>
                <w:sz w:val="20"/>
              </w:rPr>
            </w:pPr>
            <w:r w:rsidRPr="001D7229">
              <w:rPr>
                <w:b/>
                <w:bCs/>
                <w:color w:val="000000"/>
                <w:sz w:val="20"/>
              </w:rPr>
              <w:t> </w:t>
            </w:r>
          </w:p>
        </w:tc>
        <w:tc>
          <w:tcPr>
            <w:tcW w:w="1209" w:type="dxa"/>
            <w:tcBorders>
              <w:top w:val="nil"/>
              <w:left w:val="nil"/>
              <w:bottom w:val="single" w:sz="4" w:space="0" w:color="auto"/>
              <w:right w:val="single" w:sz="4" w:space="0" w:color="auto"/>
            </w:tcBorders>
            <w:shd w:val="clear" w:color="000000" w:fill="FCE4D6"/>
            <w:noWrap/>
            <w:vAlign w:val="center"/>
            <w:hideMark/>
          </w:tcPr>
          <w:p w14:paraId="11125196" w14:textId="77777777" w:rsidR="001D7229" w:rsidRPr="001D7229" w:rsidRDefault="001D7229" w:rsidP="001D7229">
            <w:pPr>
              <w:spacing w:after="0" w:line="240" w:lineRule="auto"/>
              <w:jc w:val="center"/>
              <w:rPr>
                <w:b/>
                <w:bCs/>
                <w:color w:val="000000"/>
                <w:sz w:val="18"/>
                <w:szCs w:val="18"/>
              </w:rPr>
            </w:pPr>
            <w:r w:rsidRPr="001D7229">
              <w:rPr>
                <w:b/>
                <w:bCs/>
                <w:color w:val="000000"/>
                <w:sz w:val="18"/>
                <w:szCs w:val="18"/>
              </w:rPr>
              <w:t> </w:t>
            </w:r>
          </w:p>
        </w:tc>
        <w:tc>
          <w:tcPr>
            <w:tcW w:w="4307" w:type="dxa"/>
            <w:tcBorders>
              <w:top w:val="nil"/>
              <w:left w:val="nil"/>
              <w:bottom w:val="single" w:sz="4" w:space="0" w:color="auto"/>
              <w:right w:val="single" w:sz="4" w:space="0" w:color="auto"/>
            </w:tcBorders>
            <w:shd w:val="clear" w:color="000000" w:fill="FCE4D6"/>
            <w:vAlign w:val="center"/>
            <w:hideMark/>
          </w:tcPr>
          <w:p w14:paraId="06D0980D" w14:textId="77777777" w:rsidR="001D7229" w:rsidRPr="001D7229" w:rsidRDefault="001D7229" w:rsidP="001D7229">
            <w:pPr>
              <w:spacing w:after="0" w:line="240" w:lineRule="auto"/>
              <w:rPr>
                <w:b/>
                <w:bCs/>
                <w:color w:val="000000"/>
                <w:sz w:val="20"/>
              </w:rPr>
            </w:pPr>
            <w:r w:rsidRPr="001D7229">
              <w:rPr>
                <w:b/>
                <w:bCs/>
                <w:color w:val="000000"/>
                <w:sz w:val="20"/>
              </w:rPr>
              <w:t> </w:t>
            </w:r>
          </w:p>
        </w:tc>
      </w:tr>
      <w:tr w:rsidR="001D7229" w:rsidRPr="001D7229" w14:paraId="5823DDB1" w14:textId="77777777" w:rsidTr="00166285">
        <w:trPr>
          <w:trHeight w:val="2601"/>
        </w:trPr>
        <w:tc>
          <w:tcPr>
            <w:tcW w:w="871" w:type="dxa"/>
            <w:tcBorders>
              <w:top w:val="nil"/>
              <w:left w:val="single" w:sz="4" w:space="0" w:color="auto"/>
              <w:bottom w:val="single" w:sz="4" w:space="0" w:color="auto"/>
              <w:right w:val="single" w:sz="4" w:space="0" w:color="auto"/>
            </w:tcBorders>
            <w:vAlign w:val="center"/>
            <w:hideMark/>
          </w:tcPr>
          <w:p w14:paraId="5C552FDB" w14:textId="77777777" w:rsidR="001D7229" w:rsidRPr="001D7229" w:rsidRDefault="001D7229" w:rsidP="001D7229">
            <w:pPr>
              <w:spacing w:after="0" w:line="240" w:lineRule="auto"/>
              <w:rPr>
                <w:color w:val="000000"/>
                <w:sz w:val="20"/>
              </w:rPr>
            </w:pPr>
            <w:r w:rsidRPr="001D7229">
              <w:rPr>
                <w:color w:val="000000"/>
                <w:sz w:val="20"/>
              </w:rPr>
              <w:t>2</w:t>
            </w:r>
          </w:p>
        </w:tc>
        <w:tc>
          <w:tcPr>
            <w:tcW w:w="1247" w:type="dxa"/>
            <w:tcBorders>
              <w:top w:val="nil"/>
              <w:left w:val="nil"/>
              <w:bottom w:val="single" w:sz="4" w:space="0" w:color="auto"/>
              <w:right w:val="single" w:sz="4" w:space="0" w:color="auto"/>
            </w:tcBorders>
            <w:vAlign w:val="center"/>
            <w:hideMark/>
          </w:tcPr>
          <w:p w14:paraId="4B19CA89" w14:textId="77777777" w:rsidR="001D7229" w:rsidRPr="001D7229" w:rsidRDefault="001D7229" w:rsidP="001D7229">
            <w:pPr>
              <w:spacing w:after="0" w:line="240" w:lineRule="auto"/>
              <w:rPr>
                <w:color w:val="000000"/>
                <w:sz w:val="20"/>
              </w:rPr>
            </w:pPr>
            <w:r w:rsidRPr="001D7229">
              <w:rPr>
                <w:color w:val="000000"/>
                <w:sz w:val="20"/>
              </w:rPr>
              <w:t>Varaždinska županija</w:t>
            </w:r>
          </w:p>
        </w:tc>
        <w:tc>
          <w:tcPr>
            <w:tcW w:w="1434" w:type="dxa"/>
            <w:tcBorders>
              <w:top w:val="nil"/>
              <w:left w:val="nil"/>
              <w:bottom w:val="single" w:sz="4" w:space="0" w:color="auto"/>
              <w:right w:val="single" w:sz="4" w:space="0" w:color="auto"/>
            </w:tcBorders>
            <w:vAlign w:val="center"/>
            <w:hideMark/>
          </w:tcPr>
          <w:p w14:paraId="377BCBC7" w14:textId="77777777" w:rsidR="001D7229" w:rsidRPr="001D7229" w:rsidRDefault="001D7229" w:rsidP="001D7229">
            <w:pPr>
              <w:spacing w:after="0" w:line="240" w:lineRule="auto"/>
              <w:rPr>
                <w:color w:val="000000"/>
                <w:sz w:val="20"/>
              </w:rPr>
            </w:pPr>
            <w:r w:rsidRPr="001D7229">
              <w:rPr>
                <w:color w:val="000000"/>
                <w:sz w:val="20"/>
              </w:rPr>
              <w:t>Fizička osoba</w:t>
            </w:r>
          </w:p>
        </w:tc>
        <w:tc>
          <w:tcPr>
            <w:tcW w:w="1399" w:type="dxa"/>
            <w:tcBorders>
              <w:top w:val="nil"/>
              <w:left w:val="nil"/>
              <w:bottom w:val="single" w:sz="4" w:space="0" w:color="auto"/>
              <w:right w:val="single" w:sz="4" w:space="0" w:color="auto"/>
            </w:tcBorders>
            <w:vAlign w:val="center"/>
            <w:hideMark/>
          </w:tcPr>
          <w:p w14:paraId="23455B40" w14:textId="77777777" w:rsidR="001D7229" w:rsidRPr="001D7229" w:rsidRDefault="001D7229" w:rsidP="001D7229">
            <w:pPr>
              <w:spacing w:after="0" w:line="240" w:lineRule="auto"/>
              <w:rPr>
                <w:color w:val="000000"/>
                <w:sz w:val="20"/>
              </w:rPr>
            </w:pPr>
            <w:r w:rsidRPr="001D7229">
              <w:rPr>
                <w:color w:val="000000"/>
                <w:sz w:val="20"/>
              </w:rPr>
              <w:t>utvrđenje prava vlasništva</w:t>
            </w:r>
          </w:p>
        </w:tc>
        <w:tc>
          <w:tcPr>
            <w:tcW w:w="1291" w:type="dxa"/>
            <w:tcBorders>
              <w:top w:val="nil"/>
              <w:left w:val="nil"/>
              <w:bottom w:val="single" w:sz="4" w:space="0" w:color="auto"/>
              <w:right w:val="single" w:sz="4" w:space="0" w:color="auto"/>
            </w:tcBorders>
            <w:vAlign w:val="center"/>
            <w:hideMark/>
          </w:tcPr>
          <w:p w14:paraId="36CA6471" w14:textId="77777777" w:rsidR="001D7229" w:rsidRPr="001D7229" w:rsidRDefault="001D7229" w:rsidP="001D7229">
            <w:pPr>
              <w:spacing w:after="0" w:line="240" w:lineRule="auto"/>
              <w:jc w:val="right"/>
              <w:rPr>
                <w:color w:val="000000"/>
                <w:sz w:val="20"/>
              </w:rPr>
            </w:pPr>
            <w:r w:rsidRPr="001D7229">
              <w:rPr>
                <w:color w:val="000000"/>
                <w:sz w:val="20"/>
              </w:rPr>
              <w:t>33.313,42</w:t>
            </w:r>
          </w:p>
        </w:tc>
        <w:tc>
          <w:tcPr>
            <w:tcW w:w="994" w:type="dxa"/>
            <w:tcBorders>
              <w:top w:val="nil"/>
              <w:left w:val="nil"/>
              <w:bottom w:val="single" w:sz="4" w:space="0" w:color="auto"/>
              <w:right w:val="single" w:sz="4" w:space="0" w:color="auto"/>
            </w:tcBorders>
            <w:vAlign w:val="center"/>
            <w:hideMark/>
          </w:tcPr>
          <w:p w14:paraId="0D7C13C1" w14:textId="77777777" w:rsidR="001D7229" w:rsidRPr="001D7229" w:rsidRDefault="001D7229" w:rsidP="001D7229">
            <w:pPr>
              <w:spacing w:after="0" w:line="240" w:lineRule="auto"/>
              <w:jc w:val="right"/>
              <w:rPr>
                <w:color w:val="000000"/>
                <w:sz w:val="20"/>
              </w:rPr>
            </w:pPr>
            <w:r w:rsidRPr="001D7229">
              <w:rPr>
                <w:color w:val="000000"/>
                <w:sz w:val="20"/>
              </w:rPr>
              <w:t>3.750,00</w:t>
            </w:r>
          </w:p>
        </w:tc>
        <w:tc>
          <w:tcPr>
            <w:tcW w:w="1579" w:type="dxa"/>
            <w:tcBorders>
              <w:top w:val="nil"/>
              <w:left w:val="nil"/>
              <w:bottom w:val="single" w:sz="4" w:space="0" w:color="auto"/>
              <w:right w:val="single" w:sz="4" w:space="0" w:color="auto"/>
            </w:tcBorders>
            <w:vAlign w:val="center"/>
            <w:hideMark/>
          </w:tcPr>
          <w:p w14:paraId="6C0E7846" w14:textId="77777777" w:rsidR="001D7229" w:rsidRPr="001D7229" w:rsidRDefault="001D7229" w:rsidP="001D7229">
            <w:pPr>
              <w:spacing w:after="0" w:line="240" w:lineRule="auto"/>
              <w:jc w:val="center"/>
              <w:rPr>
                <w:color w:val="000000"/>
                <w:sz w:val="20"/>
              </w:rPr>
            </w:pPr>
            <w:r w:rsidRPr="001D7229">
              <w:rPr>
                <w:color w:val="000000"/>
                <w:sz w:val="20"/>
              </w:rPr>
              <w:t>8 godina</w:t>
            </w:r>
          </w:p>
        </w:tc>
        <w:tc>
          <w:tcPr>
            <w:tcW w:w="1209" w:type="dxa"/>
            <w:tcBorders>
              <w:top w:val="nil"/>
              <w:left w:val="nil"/>
              <w:bottom w:val="single" w:sz="4" w:space="0" w:color="auto"/>
              <w:right w:val="single" w:sz="4" w:space="0" w:color="auto"/>
            </w:tcBorders>
            <w:vAlign w:val="center"/>
            <w:hideMark/>
          </w:tcPr>
          <w:p w14:paraId="0229193C" w14:textId="77777777" w:rsidR="001D7229" w:rsidRPr="001D7229" w:rsidRDefault="001D7229" w:rsidP="001D7229">
            <w:pPr>
              <w:spacing w:after="0" w:line="240" w:lineRule="auto"/>
              <w:jc w:val="center"/>
              <w:rPr>
                <w:color w:val="000000"/>
                <w:sz w:val="18"/>
                <w:szCs w:val="18"/>
              </w:rPr>
            </w:pPr>
            <w:r w:rsidRPr="001D7229">
              <w:rPr>
                <w:color w:val="000000"/>
                <w:sz w:val="18"/>
                <w:szCs w:val="18"/>
              </w:rPr>
              <w:t>27.02.2018.</w:t>
            </w:r>
          </w:p>
        </w:tc>
        <w:tc>
          <w:tcPr>
            <w:tcW w:w="4307" w:type="dxa"/>
            <w:tcBorders>
              <w:top w:val="nil"/>
              <w:left w:val="nil"/>
              <w:bottom w:val="single" w:sz="4" w:space="0" w:color="auto"/>
              <w:right w:val="single" w:sz="4" w:space="0" w:color="auto"/>
            </w:tcBorders>
            <w:vAlign w:val="center"/>
            <w:hideMark/>
          </w:tcPr>
          <w:p w14:paraId="7DB9B363" w14:textId="77777777" w:rsidR="001D7229" w:rsidRPr="001D7229" w:rsidRDefault="001D7229" w:rsidP="001D7229">
            <w:pPr>
              <w:spacing w:after="0" w:line="240" w:lineRule="auto"/>
              <w:rPr>
                <w:color w:val="000000"/>
                <w:sz w:val="16"/>
                <w:szCs w:val="16"/>
              </w:rPr>
            </w:pPr>
            <w:r w:rsidRPr="001D7229">
              <w:rPr>
                <w:color w:val="000000"/>
                <w:sz w:val="16"/>
                <w:szCs w:val="16"/>
              </w:rPr>
              <w:t>VPS tužitelji moraju izmijeniti sukladno rješenju suda. Ukinuta je presuda Trgovačkog suda u Rijeci od 28.06.2019., predmet je 10.11.2021. Visoki trgovački sud vratio na ponovno odlučivanje Trgovačkom sudu u Rijeci.   Dana 21. travnja 2023. održan je uviđaj na licu mjesta i izvođenje dokaznog postupka vještačenjem po vještaku geodetske struke radi identifikacije predmetnih dviju nekretnina. 30. kolovoza 2024. održano je ročište. 15. studenog 2024. održano je ročište na kojem je zaključena glavna rasprava. Prvostupanjskom presudom od 15. siječnja 2025. odbijen je tužbeni zahtjev tužitelja a Var. županiji dosuđen je trošak postupka od 3.750,00 eura. Tužitelji su 7. kolovoza 2025. podnijeli prijedlog za dopuštenje revizije.</w:t>
            </w:r>
          </w:p>
        </w:tc>
      </w:tr>
      <w:tr w:rsidR="001D7229" w:rsidRPr="001D7229" w14:paraId="5D976B83" w14:textId="77777777" w:rsidTr="00166285">
        <w:trPr>
          <w:trHeight w:val="1377"/>
        </w:trPr>
        <w:tc>
          <w:tcPr>
            <w:tcW w:w="871" w:type="dxa"/>
            <w:tcBorders>
              <w:top w:val="nil"/>
              <w:left w:val="single" w:sz="4" w:space="0" w:color="auto"/>
              <w:bottom w:val="single" w:sz="4" w:space="0" w:color="auto"/>
              <w:right w:val="single" w:sz="4" w:space="0" w:color="auto"/>
            </w:tcBorders>
            <w:vAlign w:val="center"/>
            <w:hideMark/>
          </w:tcPr>
          <w:p w14:paraId="72FCC276" w14:textId="77777777" w:rsidR="001D7229" w:rsidRPr="001D7229" w:rsidRDefault="001D7229" w:rsidP="001D7229">
            <w:pPr>
              <w:spacing w:after="0" w:line="240" w:lineRule="auto"/>
              <w:rPr>
                <w:color w:val="000000"/>
                <w:sz w:val="20"/>
              </w:rPr>
            </w:pPr>
            <w:r w:rsidRPr="001D7229">
              <w:rPr>
                <w:color w:val="000000"/>
                <w:sz w:val="20"/>
              </w:rPr>
              <w:t>3</w:t>
            </w:r>
          </w:p>
        </w:tc>
        <w:tc>
          <w:tcPr>
            <w:tcW w:w="1247" w:type="dxa"/>
            <w:tcBorders>
              <w:top w:val="nil"/>
              <w:left w:val="nil"/>
              <w:bottom w:val="single" w:sz="4" w:space="0" w:color="auto"/>
              <w:right w:val="single" w:sz="4" w:space="0" w:color="auto"/>
            </w:tcBorders>
            <w:vAlign w:val="center"/>
            <w:hideMark/>
          </w:tcPr>
          <w:p w14:paraId="65BD3009" w14:textId="77777777" w:rsidR="001D7229" w:rsidRPr="001D7229" w:rsidRDefault="001D7229" w:rsidP="001D7229">
            <w:pPr>
              <w:spacing w:after="0" w:line="240" w:lineRule="auto"/>
              <w:rPr>
                <w:color w:val="000000"/>
                <w:sz w:val="20"/>
              </w:rPr>
            </w:pPr>
            <w:r w:rsidRPr="001D7229">
              <w:rPr>
                <w:color w:val="000000"/>
                <w:sz w:val="20"/>
              </w:rPr>
              <w:t>1.tuženik DDM REO Adria d.o.o. Zagreb             2. tuženik Varaždinska županija</w:t>
            </w:r>
          </w:p>
        </w:tc>
        <w:tc>
          <w:tcPr>
            <w:tcW w:w="1434" w:type="dxa"/>
            <w:tcBorders>
              <w:top w:val="nil"/>
              <w:left w:val="nil"/>
              <w:bottom w:val="single" w:sz="4" w:space="0" w:color="auto"/>
              <w:right w:val="single" w:sz="4" w:space="0" w:color="auto"/>
            </w:tcBorders>
            <w:vAlign w:val="center"/>
            <w:hideMark/>
          </w:tcPr>
          <w:p w14:paraId="25E8BD2F" w14:textId="77777777" w:rsidR="001D7229" w:rsidRPr="001D7229" w:rsidRDefault="001D7229" w:rsidP="001D7229">
            <w:pPr>
              <w:spacing w:after="0" w:line="240" w:lineRule="auto"/>
              <w:rPr>
                <w:color w:val="000000"/>
                <w:sz w:val="20"/>
              </w:rPr>
            </w:pPr>
            <w:r w:rsidRPr="001D7229">
              <w:rPr>
                <w:color w:val="000000"/>
                <w:sz w:val="20"/>
              </w:rPr>
              <w:t>Fizička osoba</w:t>
            </w:r>
          </w:p>
        </w:tc>
        <w:tc>
          <w:tcPr>
            <w:tcW w:w="1399" w:type="dxa"/>
            <w:tcBorders>
              <w:top w:val="nil"/>
              <w:left w:val="nil"/>
              <w:bottom w:val="single" w:sz="4" w:space="0" w:color="auto"/>
              <w:right w:val="single" w:sz="4" w:space="0" w:color="auto"/>
            </w:tcBorders>
            <w:vAlign w:val="center"/>
            <w:hideMark/>
          </w:tcPr>
          <w:p w14:paraId="6CAE8DD6" w14:textId="77777777" w:rsidR="001D7229" w:rsidRPr="001D7229" w:rsidRDefault="001D7229" w:rsidP="001D7229">
            <w:pPr>
              <w:spacing w:after="0" w:line="240" w:lineRule="auto"/>
              <w:rPr>
                <w:color w:val="000000"/>
                <w:sz w:val="20"/>
              </w:rPr>
            </w:pPr>
            <w:r w:rsidRPr="001D7229">
              <w:rPr>
                <w:color w:val="000000"/>
                <w:sz w:val="20"/>
              </w:rPr>
              <w:t>radi proglašenja ovrhe nedopuštenom</w:t>
            </w:r>
          </w:p>
        </w:tc>
        <w:tc>
          <w:tcPr>
            <w:tcW w:w="1291" w:type="dxa"/>
            <w:tcBorders>
              <w:top w:val="nil"/>
              <w:left w:val="nil"/>
              <w:bottom w:val="single" w:sz="4" w:space="0" w:color="auto"/>
              <w:right w:val="single" w:sz="4" w:space="0" w:color="auto"/>
            </w:tcBorders>
            <w:vAlign w:val="center"/>
            <w:hideMark/>
          </w:tcPr>
          <w:p w14:paraId="7F843BCE" w14:textId="77777777" w:rsidR="001D7229" w:rsidRPr="001D7229" w:rsidRDefault="001D7229" w:rsidP="001D7229">
            <w:pPr>
              <w:spacing w:after="0" w:line="240" w:lineRule="auto"/>
              <w:jc w:val="right"/>
              <w:rPr>
                <w:color w:val="000000"/>
                <w:sz w:val="20"/>
              </w:rPr>
            </w:pPr>
            <w:r w:rsidRPr="001D7229">
              <w:rPr>
                <w:color w:val="000000"/>
                <w:sz w:val="20"/>
              </w:rPr>
              <w:t>1.327,36</w:t>
            </w:r>
          </w:p>
        </w:tc>
        <w:tc>
          <w:tcPr>
            <w:tcW w:w="994" w:type="dxa"/>
            <w:tcBorders>
              <w:top w:val="nil"/>
              <w:left w:val="nil"/>
              <w:bottom w:val="single" w:sz="4" w:space="0" w:color="auto"/>
              <w:right w:val="single" w:sz="4" w:space="0" w:color="auto"/>
            </w:tcBorders>
            <w:vAlign w:val="center"/>
            <w:hideMark/>
          </w:tcPr>
          <w:p w14:paraId="0EF751CA" w14:textId="77777777" w:rsidR="001D7229" w:rsidRPr="001D7229" w:rsidRDefault="001D7229" w:rsidP="001D7229">
            <w:pPr>
              <w:spacing w:after="0" w:line="240" w:lineRule="auto"/>
              <w:jc w:val="right"/>
              <w:rPr>
                <w:color w:val="000000"/>
                <w:sz w:val="20"/>
              </w:rPr>
            </w:pPr>
            <w:r w:rsidRPr="001D7229">
              <w:rPr>
                <w:color w:val="000000"/>
                <w:sz w:val="20"/>
              </w:rPr>
              <w:t>500,00</w:t>
            </w:r>
          </w:p>
        </w:tc>
        <w:tc>
          <w:tcPr>
            <w:tcW w:w="1579" w:type="dxa"/>
            <w:tcBorders>
              <w:top w:val="nil"/>
              <w:left w:val="nil"/>
              <w:bottom w:val="single" w:sz="4" w:space="0" w:color="auto"/>
              <w:right w:val="single" w:sz="4" w:space="0" w:color="auto"/>
            </w:tcBorders>
            <w:vAlign w:val="center"/>
            <w:hideMark/>
          </w:tcPr>
          <w:p w14:paraId="410960EA" w14:textId="77777777" w:rsidR="001D7229" w:rsidRPr="001D7229" w:rsidRDefault="001D7229" w:rsidP="001D7229">
            <w:pPr>
              <w:spacing w:after="0" w:line="240" w:lineRule="auto"/>
              <w:jc w:val="center"/>
              <w:rPr>
                <w:color w:val="000000"/>
                <w:sz w:val="20"/>
              </w:rPr>
            </w:pPr>
            <w:r w:rsidRPr="001D7229">
              <w:rPr>
                <w:color w:val="000000"/>
                <w:sz w:val="20"/>
              </w:rPr>
              <w:t>3 godine</w:t>
            </w:r>
          </w:p>
        </w:tc>
        <w:tc>
          <w:tcPr>
            <w:tcW w:w="1209" w:type="dxa"/>
            <w:tcBorders>
              <w:top w:val="nil"/>
              <w:left w:val="nil"/>
              <w:bottom w:val="single" w:sz="4" w:space="0" w:color="auto"/>
              <w:right w:val="single" w:sz="4" w:space="0" w:color="auto"/>
            </w:tcBorders>
            <w:vAlign w:val="center"/>
            <w:hideMark/>
          </w:tcPr>
          <w:p w14:paraId="1FD7C322" w14:textId="77777777" w:rsidR="001D7229" w:rsidRPr="001D7229" w:rsidRDefault="001D7229" w:rsidP="001D7229">
            <w:pPr>
              <w:spacing w:after="0" w:line="240" w:lineRule="auto"/>
              <w:jc w:val="center"/>
              <w:rPr>
                <w:color w:val="000000"/>
                <w:sz w:val="18"/>
                <w:szCs w:val="18"/>
              </w:rPr>
            </w:pPr>
            <w:r w:rsidRPr="001D7229">
              <w:rPr>
                <w:color w:val="000000"/>
                <w:sz w:val="18"/>
                <w:szCs w:val="18"/>
              </w:rPr>
              <w:t>tužba je podnesena 12.01.2024.</w:t>
            </w:r>
          </w:p>
        </w:tc>
        <w:tc>
          <w:tcPr>
            <w:tcW w:w="4307" w:type="dxa"/>
            <w:tcBorders>
              <w:top w:val="nil"/>
              <w:left w:val="nil"/>
              <w:bottom w:val="single" w:sz="4" w:space="0" w:color="auto"/>
              <w:right w:val="single" w:sz="4" w:space="0" w:color="auto"/>
            </w:tcBorders>
            <w:vAlign w:val="center"/>
            <w:hideMark/>
          </w:tcPr>
          <w:p w14:paraId="3365A5D3" w14:textId="77777777" w:rsidR="001D7229" w:rsidRPr="001D7229" w:rsidRDefault="001D7229" w:rsidP="001D7229">
            <w:pPr>
              <w:spacing w:after="0" w:line="240" w:lineRule="auto"/>
              <w:rPr>
                <w:color w:val="000000"/>
                <w:sz w:val="18"/>
                <w:szCs w:val="18"/>
              </w:rPr>
            </w:pPr>
            <w:r w:rsidRPr="001D7229">
              <w:rPr>
                <w:color w:val="000000"/>
                <w:sz w:val="18"/>
                <w:szCs w:val="18"/>
              </w:rPr>
              <w:t xml:space="preserve">Županija je 2.tužena - jer je bila upisana kao fiducijarni vlasnik temeljem ovršne isprave Ugovora o založnom pravu od 7. listopada 1997.g. Pripremno ročište održano je 28. siječnja 2025. </w:t>
            </w:r>
            <w:r w:rsidRPr="001D7229">
              <w:rPr>
                <w:color w:val="000000"/>
                <w:sz w:val="18"/>
                <w:szCs w:val="18"/>
              </w:rPr>
              <w:br/>
              <w:t>Proc.fin.uč. sadrži trošk.zastupanja.</w:t>
            </w:r>
          </w:p>
        </w:tc>
      </w:tr>
      <w:tr w:rsidR="001D7229" w:rsidRPr="001D7229" w14:paraId="0BE0A936" w14:textId="77777777" w:rsidTr="009A6EBA">
        <w:trPr>
          <w:trHeight w:val="182"/>
        </w:trPr>
        <w:tc>
          <w:tcPr>
            <w:tcW w:w="3552"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150474F5" w14:textId="77777777" w:rsidR="001D7229" w:rsidRPr="001D7229" w:rsidRDefault="001D7229" w:rsidP="001D7229">
            <w:pPr>
              <w:spacing w:after="0" w:line="240" w:lineRule="auto"/>
              <w:jc w:val="center"/>
              <w:rPr>
                <w:b/>
                <w:bCs/>
                <w:color w:val="000000"/>
                <w:sz w:val="20"/>
              </w:rPr>
            </w:pPr>
            <w:r w:rsidRPr="001D7229">
              <w:rPr>
                <w:b/>
                <w:bCs/>
                <w:color w:val="000000"/>
                <w:sz w:val="20"/>
              </w:rPr>
              <w:t>UKUPNO ŽUPANIJA TUŽENIK</w:t>
            </w:r>
          </w:p>
        </w:tc>
        <w:tc>
          <w:tcPr>
            <w:tcW w:w="1399" w:type="dxa"/>
            <w:tcBorders>
              <w:top w:val="nil"/>
              <w:left w:val="nil"/>
              <w:bottom w:val="single" w:sz="4" w:space="0" w:color="auto"/>
              <w:right w:val="single" w:sz="4" w:space="0" w:color="auto"/>
            </w:tcBorders>
            <w:shd w:val="clear" w:color="auto" w:fill="FAE2D5" w:themeFill="accent2" w:themeFillTint="33"/>
            <w:vAlign w:val="center"/>
            <w:hideMark/>
          </w:tcPr>
          <w:p w14:paraId="670791D9" w14:textId="77777777" w:rsidR="001D7229" w:rsidRPr="001D7229" w:rsidRDefault="001D7229" w:rsidP="001D7229">
            <w:pPr>
              <w:spacing w:after="0" w:line="240" w:lineRule="auto"/>
              <w:rPr>
                <w:b/>
                <w:bCs/>
                <w:color w:val="000000"/>
                <w:sz w:val="20"/>
              </w:rPr>
            </w:pPr>
            <w:r w:rsidRPr="001D7229">
              <w:rPr>
                <w:b/>
                <w:bCs/>
                <w:color w:val="000000"/>
                <w:sz w:val="20"/>
              </w:rPr>
              <w:t> </w:t>
            </w:r>
          </w:p>
        </w:tc>
        <w:tc>
          <w:tcPr>
            <w:tcW w:w="1291" w:type="dxa"/>
            <w:tcBorders>
              <w:top w:val="nil"/>
              <w:left w:val="nil"/>
              <w:bottom w:val="single" w:sz="4" w:space="0" w:color="auto"/>
              <w:right w:val="single" w:sz="4" w:space="0" w:color="auto"/>
            </w:tcBorders>
            <w:shd w:val="clear" w:color="auto" w:fill="FAE2D5" w:themeFill="accent2" w:themeFillTint="33"/>
            <w:vAlign w:val="center"/>
            <w:hideMark/>
          </w:tcPr>
          <w:p w14:paraId="2873308A" w14:textId="77777777" w:rsidR="001D7229" w:rsidRPr="001D7229" w:rsidRDefault="001D7229" w:rsidP="001D7229">
            <w:pPr>
              <w:spacing w:after="0" w:line="240" w:lineRule="auto"/>
              <w:jc w:val="right"/>
              <w:rPr>
                <w:b/>
                <w:bCs/>
                <w:color w:val="000000"/>
                <w:sz w:val="20"/>
              </w:rPr>
            </w:pPr>
            <w:r w:rsidRPr="001D7229">
              <w:rPr>
                <w:b/>
                <w:bCs/>
                <w:color w:val="000000"/>
                <w:sz w:val="20"/>
              </w:rPr>
              <w:t>34.640,78</w:t>
            </w:r>
          </w:p>
        </w:tc>
        <w:tc>
          <w:tcPr>
            <w:tcW w:w="994" w:type="dxa"/>
            <w:tcBorders>
              <w:top w:val="nil"/>
              <w:left w:val="nil"/>
              <w:bottom w:val="single" w:sz="4" w:space="0" w:color="auto"/>
              <w:right w:val="single" w:sz="4" w:space="0" w:color="auto"/>
            </w:tcBorders>
            <w:shd w:val="clear" w:color="auto" w:fill="FAE2D5" w:themeFill="accent2" w:themeFillTint="33"/>
            <w:vAlign w:val="center"/>
            <w:hideMark/>
          </w:tcPr>
          <w:p w14:paraId="6619D787" w14:textId="77777777" w:rsidR="001D7229" w:rsidRPr="001D7229" w:rsidRDefault="001D7229" w:rsidP="001D7229">
            <w:pPr>
              <w:spacing w:after="0" w:line="240" w:lineRule="auto"/>
              <w:jc w:val="right"/>
              <w:rPr>
                <w:b/>
                <w:bCs/>
                <w:color w:val="000000"/>
                <w:sz w:val="20"/>
              </w:rPr>
            </w:pPr>
            <w:r w:rsidRPr="001D7229">
              <w:rPr>
                <w:b/>
                <w:bCs/>
                <w:color w:val="000000"/>
                <w:sz w:val="20"/>
              </w:rPr>
              <w:t>4.250,00</w:t>
            </w:r>
          </w:p>
        </w:tc>
        <w:tc>
          <w:tcPr>
            <w:tcW w:w="1579" w:type="dxa"/>
            <w:tcBorders>
              <w:top w:val="nil"/>
              <w:left w:val="nil"/>
              <w:bottom w:val="single" w:sz="4" w:space="0" w:color="auto"/>
              <w:right w:val="single" w:sz="4" w:space="0" w:color="auto"/>
            </w:tcBorders>
            <w:shd w:val="clear" w:color="auto" w:fill="FAE2D5" w:themeFill="accent2" w:themeFillTint="33"/>
            <w:vAlign w:val="center"/>
            <w:hideMark/>
          </w:tcPr>
          <w:p w14:paraId="086E3521" w14:textId="77777777" w:rsidR="001D7229" w:rsidRPr="001D7229" w:rsidRDefault="001D7229" w:rsidP="001D7229">
            <w:pPr>
              <w:spacing w:after="0" w:line="240" w:lineRule="auto"/>
              <w:rPr>
                <w:b/>
                <w:bCs/>
                <w:color w:val="000000"/>
                <w:sz w:val="20"/>
              </w:rPr>
            </w:pPr>
            <w:r w:rsidRPr="001D7229">
              <w:rPr>
                <w:b/>
                <w:bCs/>
                <w:color w:val="000000"/>
                <w:sz w:val="20"/>
              </w:rPr>
              <w:t> </w:t>
            </w:r>
          </w:p>
        </w:tc>
        <w:tc>
          <w:tcPr>
            <w:tcW w:w="1209" w:type="dxa"/>
            <w:tcBorders>
              <w:top w:val="nil"/>
              <w:left w:val="nil"/>
              <w:bottom w:val="single" w:sz="4" w:space="0" w:color="auto"/>
              <w:right w:val="single" w:sz="4" w:space="0" w:color="auto"/>
            </w:tcBorders>
            <w:shd w:val="clear" w:color="auto" w:fill="FAE2D5" w:themeFill="accent2" w:themeFillTint="33"/>
            <w:vAlign w:val="center"/>
            <w:hideMark/>
          </w:tcPr>
          <w:p w14:paraId="06F8F9B9" w14:textId="77777777" w:rsidR="001D7229" w:rsidRPr="001D7229" w:rsidRDefault="001D7229" w:rsidP="001D7229">
            <w:pPr>
              <w:spacing w:after="0" w:line="240" w:lineRule="auto"/>
              <w:rPr>
                <w:b/>
                <w:bCs/>
                <w:color w:val="000000"/>
                <w:sz w:val="18"/>
                <w:szCs w:val="18"/>
              </w:rPr>
            </w:pPr>
            <w:r w:rsidRPr="001D7229">
              <w:rPr>
                <w:b/>
                <w:bCs/>
                <w:color w:val="000000"/>
                <w:sz w:val="18"/>
                <w:szCs w:val="18"/>
              </w:rPr>
              <w:t> </w:t>
            </w:r>
          </w:p>
        </w:tc>
        <w:tc>
          <w:tcPr>
            <w:tcW w:w="4307" w:type="dxa"/>
            <w:tcBorders>
              <w:top w:val="nil"/>
              <w:left w:val="nil"/>
              <w:bottom w:val="single" w:sz="4" w:space="0" w:color="auto"/>
              <w:right w:val="single" w:sz="4" w:space="0" w:color="auto"/>
            </w:tcBorders>
            <w:shd w:val="clear" w:color="auto" w:fill="FAE2D5" w:themeFill="accent2" w:themeFillTint="33"/>
            <w:vAlign w:val="center"/>
            <w:hideMark/>
          </w:tcPr>
          <w:p w14:paraId="1890F3AB" w14:textId="77777777" w:rsidR="001D7229" w:rsidRPr="001D7229" w:rsidRDefault="001D7229" w:rsidP="001D7229">
            <w:pPr>
              <w:spacing w:after="0" w:line="240" w:lineRule="auto"/>
              <w:rPr>
                <w:b/>
                <w:bCs/>
                <w:color w:val="000000"/>
                <w:sz w:val="20"/>
              </w:rPr>
            </w:pPr>
            <w:r w:rsidRPr="001D7229">
              <w:rPr>
                <w:b/>
                <w:bCs/>
                <w:color w:val="000000"/>
                <w:sz w:val="20"/>
              </w:rPr>
              <w:t> </w:t>
            </w:r>
          </w:p>
        </w:tc>
      </w:tr>
      <w:tr w:rsidR="001D7229" w:rsidRPr="001D7229" w14:paraId="3DB12139" w14:textId="77777777" w:rsidTr="00166285">
        <w:trPr>
          <w:trHeight w:val="215"/>
        </w:trPr>
        <w:tc>
          <w:tcPr>
            <w:tcW w:w="3552" w:type="dxa"/>
            <w:gridSpan w:val="3"/>
            <w:tcBorders>
              <w:top w:val="nil"/>
              <w:left w:val="nil"/>
              <w:bottom w:val="nil"/>
              <w:right w:val="nil"/>
            </w:tcBorders>
            <w:noWrap/>
            <w:vAlign w:val="center"/>
            <w:hideMark/>
          </w:tcPr>
          <w:p w14:paraId="44C83809" w14:textId="77777777" w:rsidR="001D7229" w:rsidRPr="001D7229" w:rsidRDefault="001D7229" w:rsidP="001D7229">
            <w:pPr>
              <w:spacing w:after="0" w:line="240" w:lineRule="auto"/>
              <w:rPr>
                <w:i/>
                <w:iCs/>
                <w:color w:val="000000"/>
                <w:sz w:val="16"/>
                <w:szCs w:val="16"/>
              </w:rPr>
            </w:pPr>
            <w:r w:rsidRPr="001D7229">
              <w:rPr>
                <w:i/>
                <w:iCs/>
                <w:color w:val="000000"/>
                <w:sz w:val="16"/>
                <w:szCs w:val="16"/>
              </w:rPr>
              <w:t>1)  Sažeti opis prirode spora</w:t>
            </w:r>
          </w:p>
        </w:tc>
        <w:tc>
          <w:tcPr>
            <w:tcW w:w="1399" w:type="dxa"/>
            <w:tcBorders>
              <w:top w:val="nil"/>
              <w:left w:val="nil"/>
              <w:bottom w:val="nil"/>
              <w:right w:val="nil"/>
            </w:tcBorders>
            <w:noWrap/>
            <w:vAlign w:val="center"/>
            <w:hideMark/>
          </w:tcPr>
          <w:p w14:paraId="501A8CAE" w14:textId="77777777" w:rsidR="001D7229" w:rsidRPr="001D7229" w:rsidRDefault="001D7229" w:rsidP="001D7229">
            <w:pPr>
              <w:spacing w:after="0" w:line="240" w:lineRule="auto"/>
              <w:rPr>
                <w:i/>
                <w:iCs/>
                <w:color w:val="000000"/>
                <w:sz w:val="16"/>
                <w:szCs w:val="16"/>
              </w:rPr>
            </w:pPr>
          </w:p>
        </w:tc>
        <w:tc>
          <w:tcPr>
            <w:tcW w:w="1291" w:type="dxa"/>
            <w:tcBorders>
              <w:top w:val="nil"/>
              <w:left w:val="nil"/>
              <w:bottom w:val="nil"/>
              <w:right w:val="nil"/>
            </w:tcBorders>
            <w:noWrap/>
            <w:vAlign w:val="center"/>
            <w:hideMark/>
          </w:tcPr>
          <w:p w14:paraId="2593E021" w14:textId="77777777" w:rsidR="001D7229" w:rsidRPr="001D7229" w:rsidRDefault="001D7229" w:rsidP="001D7229">
            <w:pPr>
              <w:spacing w:after="0" w:line="240" w:lineRule="auto"/>
              <w:rPr>
                <w:sz w:val="20"/>
              </w:rPr>
            </w:pPr>
          </w:p>
        </w:tc>
        <w:tc>
          <w:tcPr>
            <w:tcW w:w="994" w:type="dxa"/>
            <w:tcBorders>
              <w:top w:val="nil"/>
              <w:left w:val="nil"/>
              <w:bottom w:val="nil"/>
              <w:right w:val="nil"/>
            </w:tcBorders>
            <w:vAlign w:val="center"/>
            <w:hideMark/>
          </w:tcPr>
          <w:p w14:paraId="350A2190" w14:textId="77777777" w:rsidR="001D7229" w:rsidRPr="001D7229" w:rsidRDefault="001D7229" w:rsidP="001D7229">
            <w:pPr>
              <w:spacing w:after="0" w:line="240" w:lineRule="auto"/>
              <w:rPr>
                <w:sz w:val="20"/>
              </w:rPr>
            </w:pPr>
          </w:p>
        </w:tc>
        <w:tc>
          <w:tcPr>
            <w:tcW w:w="1579" w:type="dxa"/>
            <w:tcBorders>
              <w:top w:val="nil"/>
              <w:left w:val="nil"/>
              <w:bottom w:val="nil"/>
              <w:right w:val="nil"/>
            </w:tcBorders>
            <w:vAlign w:val="center"/>
            <w:hideMark/>
          </w:tcPr>
          <w:p w14:paraId="60B66767" w14:textId="77777777" w:rsidR="001D7229" w:rsidRPr="001D7229" w:rsidRDefault="001D7229" w:rsidP="001D7229">
            <w:pPr>
              <w:spacing w:after="0" w:line="240" w:lineRule="auto"/>
              <w:rPr>
                <w:sz w:val="20"/>
              </w:rPr>
            </w:pPr>
          </w:p>
        </w:tc>
        <w:tc>
          <w:tcPr>
            <w:tcW w:w="1209" w:type="dxa"/>
            <w:tcBorders>
              <w:top w:val="nil"/>
              <w:left w:val="nil"/>
              <w:bottom w:val="nil"/>
              <w:right w:val="nil"/>
            </w:tcBorders>
            <w:vAlign w:val="center"/>
            <w:hideMark/>
          </w:tcPr>
          <w:p w14:paraId="50A9CF4E" w14:textId="77777777" w:rsidR="001D7229" w:rsidRPr="001D7229" w:rsidRDefault="001D7229" w:rsidP="001D7229">
            <w:pPr>
              <w:spacing w:after="0" w:line="240" w:lineRule="auto"/>
              <w:rPr>
                <w:sz w:val="20"/>
              </w:rPr>
            </w:pPr>
          </w:p>
        </w:tc>
        <w:tc>
          <w:tcPr>
            <w:tcW w:w="4307" w:type="dxa"/>
            <w:tcBorders>
              <w:top w:val="nil"/>
              <w:left w:val="nil"/>
              <w:bottom w:val="nil"/>
              <w:right w:val="nil"/>
            </w:tcBorders>
            <w:vAlign w:val="center"/>
            <w:hideMark/>
          </w:tcPr>
          <w:p w14:paraId="1D82CAF7" w14:textId="77777777" w:rsidR="001D7229" w:rsidRPr="001D7229" w:rsidRDefault="001D7229" w:rsidP="001D7229">
            <w:pPr>
              <w:spacing w:after="0" w:line="240" w:lineRule="auto"/>
              <w:rPr>
                <w:sz w:val="20"/>
              </w:rPr>
            </w:pPr>
          </w:p>
        </w:tc>
      </w:tr>
      <w:tr w:rsidR="001D7229" w:rsidRPr="001D7229" w14:paraId="4B1548D7" w14:textId="77777777" w:rsidTr="00166285">
        <w:trPr>
          <w:trHeight w:val="215"/>
        </w:trPr>
        <w:tc>
          <w:tcPr>
            <w:tcW w:w="6243" w:type="dxa"/>
            <w:gridSpan w:val="5"/>
            <w:tcBorders>
              <w:top w:val="nil"/>
              <w:left w:val="nil"/>
              <w:bottom w:val="nil"/>
              <w:right w:val="nil"/>
            </w:tcBorders>
            <w:noWrap/>
            <w:vAlign w:val="center"/>
            <w:hideMark/>
          </w:tcPr>
          <w:p w14:paraId="4F546A16" w14:textId="77777777" w:rsidR="001D7229" w:rsidRPr="001D7229" w:rsidRDefault="001D7229" w:rsidP="001D7229">
            <w:pPr>
              <w:spacing w:after="0" w:line="240" w:lineRule="auto"/>
              <w:rPr>
                <w:i/>
                <w:iCs/>
                <w:color w:val="000000"/>
                <w:sz w:val="16"/>
                <w:szCs w:val="16"/>
              </w:rPr>
            </w:pPr>
            <w:r w:rsidRPr="001D7229">
              <w:rPr>
                <w:i/>
                <w:iCs/>
                <w:color w:val="000000"/>
                <w:sz w:val="16"/>
                <w:szCs w:val="16"/>
              </w:rPr>
              <w:t>2) Procijenjeni iznos  koji može proisteći iz spora kao obveza ili imovina</w:t>
            </w:r>
          </w:p>
        </w:tc>
        <w:tc>
          <w:tcPr>
            <w:tcW w:w="994" w:type="dxa"/>
            <w:tcBorders>
              <w:top w:val="nil"/>
              <w:left w:val="nil"/>
              <w:bottom w:val="nil"/>
              <w:right w:val="nil"/>
            </w:tcBorders>
            <w:noWrap/>
            <w:vAlign w:val="center"/>
            <w:hideMark/>
          </w:tcPr>
          <w:p w14:paraId="7476BAC9" w14:textId="77777777" w:rsidR="001D7229" w:rsidRPr="001D7229" w:rsidRDefault="001D7229" w:rsidP="001D7229">
            <w:pPr>
              <w:spacing w:after="0" w:line="240" w:lineRule="auto"/>
              <w:rPr>
                <w:i/>
                <w:iCs/>
                <w:color w:val="000000"/>
                <w:sz w:val="16"/>
                <w:szCs w:val="16"/>
              </w:rPr>
            </w:pPr>
          </w:p>
        </w:tc>
        <w:tc>
          <w:tcPr>
            <w:tcW w:w="1579" w:type="dxa"/>
            <w:tcBorders>
              <w:top w:val="nil"/>
              <w:left w:val="nil"/>
              <w:bottom w:val="nil"/>
              <w:right w:val="nil"/>
            </w:tcBorders>
            <w:vAlign w:val="center"/>
            <w:hideMark/>
          </w:tcPr>
          <w:p w14:paraId="09E8A756" w14:textId="77777777" w:rsidR="001D7229" w:rsidRPr="001D7229" w:rsidRDefault="001D7229" w:rsidP="001D7229">
            <w:pPr>
              <w:spacing w:after="0" w:line="240" w:lineRule="auto"/>
              <w:rPr>
                <w:sz w:val="20"/>
              </w:rPr>
            </w:pPr>
          </w:p>
        </w:tc>
        <w:tc>
          <w:tcPr>
            <w:tcW w:w="1209" w:type="dxa"/>
            <w:tcBorders>
              <w:top w:val="nil"/>
              <w:left w:val="nil"/>
              <w:bottom w:val="nil"/>
              <w:right w:val="nil"/>
            </w:tcBorders>
            <w:vAlign w:val="center"/>
            <w:hideMark/>
          </w:tcPr>
          <w:p w14:paraId="3D683A86" w14:textId="77777777" w:rsidR="001D7229" w:rsidRPr="001D7229" w:rsidRDefault="001D7229" w:rsidP="001D7229">
            <w:pPr>
              <w:spacing w:after="0" w:line="240" w:lineRule="auto"/>
              <w:rPr>
                <w:sz w:val="20"/>
              </w:rPr>
            </w:pPr>
          </w:p>
        </w:tc>
        <w:tc>
          <w:tcPr>
            <w:tcW w:w="4307" w:type="dxa"/>
            <w:tcBorders>
              <w:top w:val="nil"/>
              <w:left w:val="nil"/>
              <w:bottom w:val="nil"/>
              <w:right w:val="nil"/>
            </w:tcBorders>
            <w:vAlign w:val="center"/>
            <w:hideMark/>
          </w:tcPr>
          <w:p w14:paraId="629A0DEE" w14:textId="77777777" w:rsidR="001D7229" w:rsidRPr="001D7229" w:rsidRDefault="001D7229" w:rsidP="001D7229">
            <w:pPr>
              <w:spacing w:after="0" w:line="240" w:lineRule="auto"/>
              <w:rPr>
                <w:sz w:val="20"/>
              </w:rPr>
            </w:pPr>
          </w:p>
        </w:tc>
      </w:tr>
      <w:tr w:rsidR="001D7229" w:rsidRPr="001D7229" w14:paraId="5CC686B7" w14:textId="77777777" w:rsidTr="00166285">
        <w:trPr>
          <w:trHeight w:val="215"/>
        </w:trPr>
        <w:tc>
          <w:tcPr>
            <w:tcW w:w="3552" w:type="dxa"/>
            <w:gridSpan w:val="3"/>
            <w:tcBorders>
              <w:top w:val="nil"/>
              <w:left w:val="nil"/>
              <w:bottom w:val="nil"/>
              <w:right w:val="nil"/>
            </w:tcBorders>
            <w:noWrap/>
            <w:vAlign w:val="center"/>
            <w:hideMark/>
          </w:tcPr>
          <w:p w14:paraId="0A9830BB" w14:textId="77777777" w:rsidR="001D7229" w:rsidRPr="001D7229" w:rsidRDefault="001D7229" w:rsidP="001D7229">
            <w:pPr>
              <w:spacing w:after="0" w:line="240" w:lineRule="auto"/>
              <w:rPr>
                <w:i/>
                <w:iCs/>
                <w:color w:val="000000"/>
                <w:sz w:val="16"/>
                <w:szCs w:val="16"/>
              </w:rPr>
            </w:pPr>
            <w:r w:rsidRPr="001D7229">
              <w:rPr>
                <w:i/>
                <w:iCs/>
                <w:color w:val="000000"/>
                <w:sz w:val="16"/>
                <w:szCs w:val="16"/>
              </w:rPr>
              <w:t>3) Procijenjeno trajanje spora</w:t>
            </w:r>
          </w:p>
        </w:tc>
        <w:tc>
          <w:tcPr>
            <w:tcW w:w="1399" w:type="dxa"/>
            <w:tcBorders>
              <w:top w:val="nil"/>
              <w:left w:val="nil"/>
              <w:bottom w:val="nil"/>
              <w:right w:val="nil"/>
            </w:tcBorders>
            <w:noWrap/>
            <w:vAlign w:val="center"/>
            <w:hideMark/>
          </w:tcPr>
          <w:p w14:paraId="0B923A7F" w14:textId="77777777" w:rsidR="001D7229" w:rsidRPr="001D7229" w:rsidRDefault="001D7229" w:rsidP="001D7229">
            <w:pPr>
              <w:spacing w:after="0" w:line="240" w:lineRule="auto"/>
              <w:rPr>
                <w:i/>
                <w:iCs/>
                <w:color w:val="000000"/>
                <w:sz w:val="16"/>
                <w:szCs w:val="16"/>
              </w:rPr>
            </w:pPr>
          </w:p>
        </w:tc>
        <w:tc>
          <w:tcPr>
            <w:tcW w:w="1291" w:type="dxa"/>
            <w:tcBorders>
              <w:top w:val="nil"/>
              <w:left w:val="nil"/>
              <w:bottom w:val="nil"/>
              <w:right w:val="nil"/>
            </w:tcBorders>
            <w:noWrap/>
            <w:vAlign w:val="center"/>
            <w:hideMark/>
          </w:tcPr>
          <w:p w14:paraId="03DAD556" w14:textId="77777777" w:rsidR="001D7229" w:rsidRPr="001D7229" w:rsidRDefault="001D7229" w:rsidP="001D7229">
            <w:pPr>
              <w:spacing w:after="0" w:line="240" w:lineRule="auto"/>
              <w:rPr>
                <w:sz w:val="20"/>
              </w:rPr>
            </w:pPr>
          </w:p>
        </w:tc>
        <w:tc>
          <w:tcPr>
            <w:tcW w:w="994" w:type="dxa"/>
            <w:tcBorders>
              <w:top w:val="nil"/>
              <w:left w:val="nil"/>
              <w:bottom w:val="nil"/>
              <w:right w:val="nil"/>
            </w:tcBorders>
            <w:vAlign w:val="center"/>
            <w:hideMark/>
          </w:tcPr>
          <w:p w14:paraId="7D36E462" w14:textId="77777777" w:rsidR="001D7229" w:rsidRPr="001D7229" w:rsidRDefault="001D7229" w:rsidP="001D7229">
            <w:pPr>
              <w:spacing w:after="0" w:line="240" w:lineRule="auto"/>
              <w:rPr>
                <w:sz w:val="20"/>
              </w:rPr>
            </w:pPr>
          </w:p>
        </w:tc>
        <w:tc>
          <w:tcPr>
            <w:tcW w:w="1579" w:type="dxa"/>
            <w:tcBorders>
              <w:top w:val="nil"/>
              <w:left w:val="nil"/>
              <w:bottom w:val="nil"/>
              <w:right w:val="nil"/>
            </w:tcBorders>
            <w:vAlign w:val="center"/>
            <w:hideMark/>
          </w:tcPr>
          <w:p w14:paraId="3DE480E2" w14:textId="77777777" w:rsidR="001D7229" w:rsidRPr="001D7229" w:rsidRDefault="001D7229" w:rsidP="001D7229">
            <w:pPr>
              <w:spacing w:after="0" w:line="240" w:lineRule="auto"/>
              <w:rPr>
                <w:color w:val="FFFFFF"/>
                <w:sz w:val="20"/>
              </w:rPr>
            </w:pPr>
            <w:r w:rsidRPr="001D7229">
              <w:rPr>
                <w:color w:val="FFFFFF"/>
                <w:sz w:val="20"/>
              </w:rPr>
              <w:t>Sastavio:</w:t>
            </w:r>
          </w:p>
        </w:tc>
        <w:tc>
          <w:tcPr>
            <w:tcW w:w="1209" w:type="dxa"/>
            <w:tcBorders>
              <w:top w:val="nil"/>
              <w:left w:val="nil"/>
              <w:bottom w:val="nil"/>
              <w:right w:val="nil"/>
            </w:tcBorders>
            <w:vAlign w:val="center"/>
            <w:hideMark/>
          </w:tcPr>
          <w:p w14:paraId="02312C8E" w14:textId="77777777" w:rsidR="001D7229" w:rsidRPr="001D7229" w:rsidRDefault="001D7229" w:rsidP="001D7229">
            <w:pPr>
              <w:spacing w:after="0" w:line="240" w:lineRule="auto"/>
              <w:rPr>
                <w:color w:val="FFFFFF"/>
                <w:sz w:val="20"/>
              </w:rPr>
            </w:pPr>
          </w:p>
        </w:tc>
        <w:tc>
          <w:tcPr>
            <w:tcW w:w="4307" w:type="dxa"/>
            <w:tcBorders>
              <w:top w:val="nil"/>
              <w:left w:val="nil"/>
              <w:bottom w:val="nil"/>
              <w:right w:val="nil"/>
            </w:tcBorders>
            <w:vAlign w:val="center"/>
            <w:hideMark/>
          </w:tcPr>
          <w:p w14:paraId="3386FDE2" w14:textId="77777777" w:rsidR="001D7229" w:rsidRPr="001D7229" w:rsidRDefault="001D7229" w:rsidP="001D7229">
            <w:pPr>
              <w:spacing w:after="0" w:line="240" w:lineRule="auto"/>
              <w:rPr>
                <w:sz w:val="20"/>
              </w:rPr>
            </w:pPr>
          </w:p>
        </w:tc>
      </w:tr>
    </w:tbl>
    <w:p w14:paraId="642C0FA0" w14:textId="77777777" w:rsidR="00BC74D6" w:rsidRDefault="00BC74D6">
      <w:pPr>
        <w:sectPr w:rsidR="00BC74D6" w:rsidSect="006976E8">
          <w:pgSz w:w="16838" w:h="11906" w:orient="landscape" w:code="9"/>
          <w:pgMar w:top="1418" w:right="1418" w:bottom="1418" w:left="1418" w:header="709" w:footer="709" w:gutter="0"/>
          <w:cols w:space="708"/>
          <w:docGrid w:linePitch="360"/>
        </w:sectPr>
      </w:pPr>
      <w:r>
        <w:br w:type="page"/>
      </w:r>
    </w:p>
    <w:p w14:paraId="33A3860E" w14:textId="399C7573" w:rsidR="00BC74D6" w:rsidRPr="00350EC0" w:rsidRDefault="00350EC0">
      <w:pPr>
        <w:rPr>
          <w:b/>
          <w:bCs/>
        </w:rPr>
      </w:pPr>
      <w:r w:rsidRPr="00350EC0">
        <w:rPr>
          <w:b/>
          <w:bCs/>
        </w:rPr>
        <w:lastRenderedPageBreak/>
        <w:t>Preuzete obveze po ugovorima o nabavi roba, radova i usluga</w:t>
      </w:r>
    </w:p>
    <w:p w14:paraId="4C19E255" w14:textId="0413EB8B" w:rsidR="00350EC0" w:rsidRDefault="00350EC0" w:rsidP="00350EC0">
      <w:pPr>
        <w:jc w:val="both"/>
        <w:rPr>
          <w:bCs/>
          <w:szCs w:val="24"/>
        </w:rPr>
      </w:pPr>
      <w:r>
        <w:rPr>
          <w:bCs/>
        </w:rPr>
        <w:t>U izvanbilančnim zapisima (račun 99152 i 99652) evidentiraju se o</w:t>
      </w:r>
      <w:r w:rsidRPr="008852F5">
        <w:rPr>
          <w:bCs/>
        </w:rPr>
        <w:t>bveze koji proizlaze iz sklopljenih ugovora za nabavu roba, radova i usluga, osim ugovora za rashode za redovito poslovanje koji nastaju kontinuirano</w:t>
      </w:r>
      <w:r>
        <w:rPr>
          <w:bCs/>
        </w:rPr>
        <w:t xml:space="preserve">. Izvanbilančna evidencija zatvara se po zaprimljenim računima za nabavljenu robu, obavljene radove i usluge u visini iznosa računa te u slučaju raskida ugovora. </w:t>
      </w:r>
      <w:r>
        <w:rPr>
          <w:bCs/>
          <w:szCs w:val="24"/>
        </w:rPr>
        <w:t>Na dan 31. prosinca 2025. godine po ovim ugovorima o nabavi roba, radova i usluga ostalo je nereaalizirano ukupno 8.222.584,68 eura.</w:t>
      </w:r>
    </w:p>
    <w:p w14:paraId="7DE77E4B" w14:textId="77777777" w:rsidR="00947B9E" w:rsidRPr="00C52CC7" w:rsidRDefault="00947B9E" w:rsidP="00350EC0">
      <w:pPr>
        <w:jc w:val="both"/>
        <w:rPr>
          <w:b/>
          <w:sz w:val="20"/>
        </w:rPr>
      </w:pPr>
    </w:p>
    <w:p w14:paraId="1A2D0BDB" w14:textId="7C30F9AE" w:rsidR="00E81CAF" w:rsidRPr="00E81CAF" w:rsidRDefault="00E81CAF" w:rsidP="00350EC0">
      <w:pPr>
        <w:jc w:val="both"/>
        <w:rPr>
          <w:b/>
          <w:szCs w:val="24"/>
        </w:rPr>
      </w:pPr>
      <w:r w:rsidRPr="00E81CAF">
        <w:rPr>
          <w:b/>
          <w:szCs w:val="24"/>
        </w:rPr>
        <w:t>Pregled potraživanja po ugovorima o dodijeljenim bespovratnim sredstvima iz EU fondova</w:t>
      </w:r>
    </w:p>
    <w:p w14:paraId="704C17CC" w14:textId="77777777" w:rsidR="00E81CAF" w:rsidRPr="00B9255D" w:rsidRDefault="00E81CAF" w:rsidP="00E81CAF">
      <w:pPr>
        <w:ind w:right="-173"/>
        <w:jc w:val="both"/>
        <w:rPr>
          <w:bCs/>
        </w:rPr>
      </w:pPr>
      <w:r w:rsidRPr="00B9255D">
        <w:rPr>
          <w:bCs/>
        </w:rPr>
        <w:t>Potraživanja po ugovorima o dodijeljenim bespovratnim sredstvima</w:t>
      </w:r>
      <w:r>
        <w:rPr>
          <w:bCs/>
        </w:rPr>
        <w:t xml:space="preserve"> iz EU fondova</w:t>
      </w:r>
      <w:r w:rsidRPr="00B9255D">
        <w:rPr>
          <w:bCs/>
        </w:rPr>
        <w:t xml:space="preserve"> </w:t>
      </w:r>
      <w:r w:rsidRPr="007C7DF8">
        <w:rPr>
          <w:bCs/>
        </w:rPr>
        <w:t>(račun 991</w:t>
      </w:r>
      <w:r>
        <w:rPr>
          <w:bCs/>
        </w:rPr>
        <w:t xml:space="preserve">71 </w:t>
      </w:r>
      <w:r w:rsidRPr="007C7DF8">
        <w:rPr>
          <w:bCs/>
        </w:rPr>
        <w:t>i 996</w:t>
      </w:r>
      <w:r>
        <w:rPr>
          <w:bCs/>
        </w:rPr>
        <w:t>71</w:t>
      </w:r>
      <w:r w:rsidRPr="007C7DF8">
        <w:rPr>
          <w:bCs/>
        </w:rPr>
        <w:t>)</w:t>
      </w:r>
      <w:r>
        <w:rPr>
          <w:bCs/>
        </w:rPr>
        <w:t xml:space="preserve"> </w:t>
      </w:r>
      <w:r w:rsidRPr="00B9255D">
        <w:rPr>
          <w:bCs/>
        </w:rPr>
        <w:t xml:space="preserve">uključuju potraživanja </w:t>
      </w:r>
      <w:r>
        <w:rPr>
          <w:bCs/>
        </w:rPr>
        <w:t xml:space="preserve">po EU projektima </w:t>
      </w:r>
      <w:r w:rsidRPr="00B9255D">
        <w:rPr>
          <w:bCs/>
        </w:rPr>
        <w:t>koja ispunjenjem uvjeta iz ugovora o dodijeljenim bespovratnim sredstvima EU fondova postaju potraživanja koja se bilančno evidentiraju.</w:t>
      </w:r>
      <w:r>
        <w:rPr>
          <w:bCs/>
        </w:rPr>
        <w:t xml:space="preserve"> Pregled stanja ugovora po EU projektima Varaždinske županije na dan 31. prosinca 2025. godine</w:t>
      </w:r>
      <w:r w:rsidRPr="002E4DC0">
        <w:t xml:space="preserve"> </w:t>
      </w:r>
      <w:r w:rsidRPr="002E4DC0">
        <w:rPr>
          <w:bCs/>
        </w:rPr>
        <w:t>dan je u sljedećoj tablici:</w:t>
      </w:r>
    </w:p>
    <w:tbl>
      <w:tblPr>
        <w:tblW w:w="8981" w:type="dxa"/>
        <w:jc w:val="center"/>
        <w:tblLook w:val="04A0" w:firstRow="1" w:lastRow="0" w:firstColumn="1" w:lastColumn="0" w:noHBand="0" w:noVBand="1"/>
      </w:tblPr>
      <w:tblGrid>
        <w:gridCol w:w="988"/>
        <w:gridCol w:w="6517"/>
        <w:gridCol w:w="1476"/>
      </w:tblGrid>
      <w:tr w:rsidR="00E81CAF" w:rsidRPr="00E81CAF" w14:paraId="378C60F8" w14:textId="77777777" w:rsidTr="00C52CC7">
        <w:trPr>
          <w:trHeight w:val="350"/>
          <w:jc w:val="center"/>
        </w:trPr>
        <w:tc>
          <w:tcPr>
            <w:tcW w:w="988" w:type="dxa"/>
            <w:tcBorders>
              <w:top w:val="single" w:sz="4" w:space="0" w:color="auto"/>
              <w:left w:val="single" w:sz="4" w:space="0" w:color="auto"/>
              <w:bottom w:val="single" w:sz="4" w:space="0" w:color="auto"/>
              <w:right w:val="single" w:sz="4" w:space="0" w:color="auto"/>
            </w:tcBorders>
            <w:shd w:val="clear" w:color="000000" w:fill="FAE2D5" w:themeFill="accent2" w:themeFillTint="33"/>
            <w:vAlign w:val="center"/>
            <w:hideMark/>
          </w:tcPr>
          <w:p w14:paraId="7078D8BF" w14:textId="77777777" w:rsidR="00E81CAF" w:rsidRPr="00E81CAF" w:rsidRDefault="00E81CAF" w:rsidP="00E81CAF">
            <w:pPr>
              <w:spacing w:after="0" w:line="240" w:lineRule="auto"/>
              <w:jc w:val="center"/>
              <w:rPr>
                <w:b/>
                <w:bCs/>
                <w:sz w:val="20"/>
              </w:rPr>
            </w:pPr>
            <w:r w:rsidRPr="00E81CAF">
              <w:rPr>
                <w:b/>
                <w:bCs/>
                <w:sz w:val="20"/>
              </w:rPr>
              <w:t>Red. br.</w:t>
            </w:r>
          </w:p>
        </w:tc>
        <w:tc>
          <w:tcPr>
            <w:tcW w:w="6517" w:type="dxa"/>
            <w:tcBorders>
              <w:top w:val="single" w:sz="4" w:space="0" w:color="auto"/>
              <w:left w:val="nil"/>
              <w:bottom w:val="single" w:sz="4" w:space="0" w:color="auto"/>
              <w:right w:val="single" w:sz="4" w:space="0" w:color="auto"/>
            </w:tcBorders>
            <w:shd w:val="clear" w:color="000000" w:fill="FAE2D5" w:themeFill="accent2" w:themeFillTint="33"/>
            <w:vAlign w:val="center"/>
            <w:hideMark/>
          </w:tcPr>
          <w:p w14:paraId="6720139E" w14:textId="77777777" w:rsidR="00E81CAF" w:rsidRPr="00E81CAF" w:rsidRDefault="00E81CAF" w:rsidP="00E81CAF">
            <w:pPr>
              <w:spacing w:after="0" w:line="240" w:lineRule="auto"/>
              <w:jc w:val="center"/>
              <w:rPr>
                <w:b/>
                <w:bCs/>
                <w:sz w:val="20"/>
              </w:rPr>
            </w:pPr>
            <w:r w:rsidRPr="00E81CAF">
              <w:rPr>
                <w:b/>
                <w:bCs/>
                <w:sz w:val="20"/>
              </w:rPr>
              <w:t>Naziv projekta</w:t>
            </w:r>
          </w:p>
        </w:tc>
        <w:tc>
          <w:tcPr>
            <w:tcW w:w="1476" w:type="dxa"/>
            <w:tcBorders>
              <w:top w:val="single" w:sz="4" w:space="0" w:color="auto"/>
              <w:left w:val="nil"/>
              <w:bottom w:val="single" w:sz="4" w:space="0" w:color="auto"/>
              <w:right w:val="single" w:sz="4" w:space="0" w:color="auto"/>
            </w:tcBorders>
            <w:shd w:val="clear" w:color="000000" w:fill="FAE2D5" w:themeFill="accent2" w:themeFillTint="33"/>
            <w:vAlign w:val="center"/>
            <w:hideMark/>
          </w:tcPr>
          <w:p w14:paraId="549D7488" w14:textId="77777777" w:rsidR="00E81CAF" w:rsidRPr="00E81CAF" w:rsidRDefault="00E81CAF" w:rsidP="00E81CAF">
            <w:pPr>
              <w:spacing w:after="0" w:line="240" w:lineRule="auto"/>
              <w:jc w:val="center"/>
              <w:rPr>
                <w:b/>
                <w:bCs/>
                <w:sz w:val="20"/>
              </w:rPr>
            </w:pPr>
            <w:r w:rsidRPr="00E81CAF">
              <w:rPr>
                <w:b/>
                <w:bCs/>
                <w:sz w:val="20"/>
              </w:rPr>
              <w:t>Iznos</w:t>
            </w:r>
          </w:p>
        </w:tc>
      </w:tr>
      <w:tr w:rsidR="00E81CAF" w:rsidRPr="00E81CAF" w14:paraId="7C13C39D"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1F70E296" w14:textId="77777777" w:rsidR="00E81CAF" w:rsidRPr="00E81CAF" w:rsidRDefault="00E81CAF" w:rsidP="00E81CAF">
            <w:pPr>
              <w:spacing w:after="0" w:line="240" w:lineRule="auto"/>
              <w:jc w:val="center"/>
              <w:rPr>
                <w:color w:val="000000"/>
                <w:sz w:val="20"/>
              </w:rPr>
            </w:pPr>
            <w:r w:rsidRPr="00E81CAF">
              <w:rPr>
                <w:color w:val="000000"/>
                <w:sz w:val="20"/>
              </w:rPr>
              <w:t>1.</w:t>
            </w:r>
          </w:p>
        </w:tc>
        <w:tc>
          <w:tcPr>
            <w:tcW w:w="6517" w:type="dxa"/>
            <w:tcBorders>
              <w:top w:val="nil"/>
              <w:left w:val="nil"/>
              <w:bottom w:val="single" w:sz="4" w:space="0" w:color="auto"/>
              <w:right w:val="single" w:sz="4" w:space="0" w:color="auto"/>
            </w:tcBorders>
            <w:noWrap/>
            <w:vAlign w:val="center"/>
            <w:hideMark/>
          </w:tcPr>
          <w:p w14:paraId="48B15BD3" w14:textId="77777777" w:rsidR="00E81CAF" w:rsidRPr="00E81CAF" w:rsidRDefault="00E81CAF" w:rsidP="00E81CAF">
            <w:pPr>
              <w:spacing w:after="0" w:line="240" w:lineRule="auto"/>
              <w:rPr>
                <w:color w:val="000000"/>
                <w:sz w:val="20"/>
              </w:rPr>
            </w:pPr>
            <w:r w:rsidRPr="00E81CAF">
              <w:rPr>
                <w:color w:val="000000"/>
                <w:sz w:val="20"/>
              </w:rPr>
              <w:t>Revitalizacija austrougarskog vojnog konjičkog kompleksa Var.žup.</w:t>
            </w:r>
          </w:p>
        </w:tc>
        <w:tc>
          <w:tcPr>
            <w:tcW w:w="1476" w:type="dxa"/>
            <w:tcBorders>
              <w:top w:val="nil"/>
              <w:left w:val="nil"/>
              <w:bottom w:val="single" w:sz="4" w:space="0" w:color="auto"/>
              <w:right w:val="single" w:sz="4" w:space="0" w:color="auto"/>
            </w:tcBorders>
            <w:noWrap/>
            <w:vAlign w:val="center"/>
            <w:hideMark/>
          </w:tcPr>
          <w:p w14:paraId="571C847E" w14:textId="77777777" w:rsidR="00E81CAF" w:rsidRPr="00E81CAF" w:rsidRDefault="00E81CAF" w:rsidP="00E81CAF">
            <w:pPr>
              <w:spacing w:after="0" w:line="240" w:lineRule="auto"/>
              <w:jc w:val="right"/>
              <w:rPr>
                <w:color w:val="000000"/>
                <w:sz w:val="20"/>
              </w:rPr>
            </w:pPr>
            <w:r w:rsidRPr="00E81CAF">
              <w:rPr>
                <w:color w:val="000000"/>
                <w:sz w:val="20"/>
              </w:rPr>
              <w:t>26.915,22</w:t>
            </w:r>
          </w:p>
        </w:tc>
      </w:tr>
      <w:tr w:rsidR="00E81CAF" w:rsidRPr="00E81CAF" w14:paraId="2A35E24A"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1D44692E" w14:textId="77777777" w:rsidR="00E81CAF" w:rsidRPr="00E81CAF" w:rsidRDefault="00E81CAF" w:rsidP="00E81CAF">
            <w:pPr>
              <w:spacing w:after="0" w:line="240" w:lineRule="auto"/>
              <w:jc w:val="center"/>
              <w:rPr>
                <w:color w:val="000000"/>
                <w:sz w:val="20"/>
              </w:rPr>
            </w:pPr>
            <w:r w:rsidRPr="00E81CAF">
              <w:rPr>
                <w:color w:val="000000"/>
                <w:sz w:val="20"/>
              </w:rPr>
              <w:t>2.</w:t>
            </w:r>
          </w:p>
        </w:tc>
        <w:tc>
          <w:tcPr>
            <w:tcW w:w="6517" w:type="dxa"/>
            <w:tcBorders>
              <w:top w:val="nil"/>
              <w:left w:val="nil"/>
              <w:bottom w:val="single" w:sz="4" w:space="0" w:color="auto"/>
              <w:right w:val="single" w:sz="4" w:space="0" w:color="auto"/>
            </w:tcBorders>
            <w:noWrap/>
            <w:vAlign w:val="center"/>
            <w:hideMark/>
          </w:tcPr>
          <w:p w14:paraId="6483C906" w14:textId="77777777" w:rsidR="00E81CAF" w:rsidRPr="00E81CAF" w:rsidRDefault="00E81CAF" w:rsidP="00E81CAF">
            <w:pPr>
              <w:spacing w:after="0" w:line="240" w:lineRule="auto"/>
              <w:rPr>
                <w:color w:val="000000"/>
                <w:sz w:val="20"/>
              </w:rPr>
            </w:pPr>
            <w:r w:rsidRPr="00E81CAF">
              <w:rPr>
                <w:color w:val="000000"/>
                <w:sz w:val="20"/>
              </w:rPr>
              <w:t>Rail4Regions</w:t>
            </w:r>
          </w:p>
        </w:tc>
        <w:tc>
          <w:tcPr>
            <w:tcW w:w="1476" w:type="dxa"/>
            <w:tcBorders>
              <w:top w:val="nil"/>
              <w:left w:val="nil"/>
              <w:bottom w:val="single" w:sz="4" w:space="0" w:color="auto"/>
              <w:right w:val="single" w:sz="4" w:space="0" w:color="auto"/>
            </w:tcBorders>
            <w:noWrap/>
            <w:vAlign w:val="center"/>
            <w:hideMark/>
          </w:tcPr>
          <w:p w14:paraId="2EC3D7AD" w14:textId="77777777" w:rsidR="00E81CAF" w:rsidRPr="00E81CAF" w:rsidRDefault="00E81CAF" w:rsidP="00E81CAF">
            <w:pPr>
              <w:spacing w:after="0" w:line="240" w:lineRule="auto"/>
              <w:jc w:val="right"/>
              <w:rPr>
                <w:color w:val="000000"/>
                <w:sz w:val="20"/>
              </w:rPr>
            </w:pPr>
            <w:r w:rsidRPr="00E81CAF">
              <w:rPr>
                <w:color w:val="000000"/>
                <w:sz w:val="20"/>
              </w:rPr>
              <w:t>27.427,94</w:t>
            </w:r>
          </w:p>
        </w:tc>
      </w:tr>
      <w:tr w:rsidR="00E81CAF" w:rsidRPr="00E81CAF" w14:paraId="0728FA36"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7036ED92" w14:textId="77777777" w:rsidR="00E81CAF" w:rsidRPr="00E81CAF" w:rsidRDefault="00E81CAF" w:rsidP="00E81CAF">
            <w:pPr>
              <w:spacing w:after="0" w:line="240" w:lineRule="auto"/>
              <w:jc w:val="center"/>
              <w:rPr>
                <w:color w:val="000000"/>
                <w:sz w:val="20"/>
              </w:rPr>
            </w:pPr>
            <w:r w:rsidRPr="00E81CAF">
              <w:rPr>
                <w:color w:val="000000"/>
                <w:sz w:val="20"/>
              </w:rPr>
              <w:t>3.</w:t>
            </w:r>
          </w:p>
        </w:tc>
        <w:tc>
          <w:tcPr>
            <w:tcW w:w="6517" w:type="dxa"/>
            <w:tcBorders>
              <w:top w:val="nil"/>
              <w:left w:val="nil"/>
              <w:bottom w:val="single" w:sz="4" w:space="0" w:color="auto"/>
              <w:right w:val="single" w:sz="4" w:space="0" w:color="auto"/>
            </w:tcBorders>
            <w:noWrap/>
            <w:vAlign w:val="center"/>
            <w:hideMark/>
          </w:tcPr>
          <w:p w14:paraId="0644FF31" w14:textId="77777777" w:rsidR="00E81CAF" w:rsidRPr="00E81CAF" w:rsidRDefault="00E81CAF" w:rsidP="00E81CAF">
            <w:pPr>
              <w:spacing w:after="0" w:line="240" w:lineRule="auto"/>
              <w:rPr>
                <w:color w:val="000000"/>
                <w:sz w:val="20"/>
              </w:rPr>
            </w:pPr>
            <w:r w:rsidRPr="00E81CAF">
              <w:rPr>
                <w:color w:val="000000"/>
                <w:sz w:val="20"/>
              </w:rPr>
              <w:t>Rekonstrukcija i dogradnja OŠ Ivanec</w:t>
            </w:r>
          </w:p>
        </w:tc>
        <w:tc>
          <w:tcPr>
            <w:tcW w:w="1476" w:type="dxa"/>
            <w:tcBorders>
              <w:top w:val="nil"/>
              <w:left w:val="nil"/>
              <w:bottom w:val="single" w:sz="4" w:space="0" w:color="auto"/>
              <w:right w:val="single" w:sz="4" w:space="0" w:color="auto"/>
            </w:tcBorders>
            <w:noWrap/>
            <w:vAlign w:val="center"/>
            <w:hideMark/>
          </w:tcPr>
          <w:p w14:paraId="1FFEA5BD" w14:textId="77777777" w:rsidR="00E81CAF" w:rsidRPr="00E81CAF" w:rsidRDefault="00E81CAF" w:rsidP="00E81CAF">
            <w:pPr>
              <w:spacing w:after="0" w:line="240" w:lineRule="auto"/>
              <w:jc w:val="right"/>
              <w:rPr>
                <w:color w:val="000000"/>
                <w:sz w:val="20"/>
              </w:rPr>
            </w:pPr>
            <w:r w:rsidRPr="00E81CAF">
              <w:rPr>
                <w:color w:val="000000"/>
                <w:sz w:val="20"/>
              </w:rPr>
              <w:t>1.768.157,33</w:t>
            </w:r>
          </w:p>
        </w:tc>
      </w:tr>
      <w:tr w:rsidR="00E81CAF" w:rsidRPr="00E81CAF" w14:paraId="41D7A57A"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4A13A616" w14:textId="77777777" w:rsidR="00E81CAF" w:rsidRPr="00E81CAF" w:rsidRDefault="00E81CAF" w:rsidP="00E81CAF">
            <w:pPr>
              <w:spacing w:after="0" w:line="240" w:lineRule="auto"/>
              <w:jc w:val="center"/>
              <w:rPr>
                <w:color w:val="000000"/>
                <w:sz w:val="20"/>
              </w:rPr>
            </w:pPr>
            <w:r w:rsidRPr="00E81CAF">
              <w:rPr>
                <w:color w:val="000000"/>
                <w:sz w:val="20"/>
              </w:rPr>
              <w:t>4.</w:t>
            </w:r>
          </w:p>
        </w:tc>
        <w:tc>
          <w:tcPr>
            <w:tcW w:w="6517" w:type="dxa"/>
            <w:tcBorders>
              <w:top w:val="nil"/>
              <w:left w:val="nil"/>
              <w:bottom w:val="single" w:sz="4" w:space="0" w:color="auto"/>
              <w:right w:val="single" w:sz="4" w:space="0" w:color="auto"/>
            </w:tcBorders>
            <w:noWrap/>
            <w:vAlign w:val="center"/>
            <w:hideMark/>
          </w:tcPr>
          <w:p w14:paraId="6ED763DE" w14:textId="77777777" w:rsidR="00E81CAF" w:rsidRPr="00E81CAF" w:rsidRDefault="00E81CAF" w:rsidP="00E81CAF">
            <w:pPr>
              <w:spacing w:after="0" w:line="240" w:lineRule="auto"/>
              <w:rPr>
                <w:color w:val="000000"/>
                <w:sz w:val="20"/>
              </w:rPr>
            </w:pPr>
            <w:r w:rsidRPr="00E81CAF">
              <w:rPr>
                <w:color w:val="000000"/>
                <w:sz w:val="20"/>
              </w:rPr>
              <w:t>Rekonstrukcija i dogradnja PŠ Strmec Podravski</w:t>
            </w:r>
          </w:p>
        </w:tc>
        <w:tc>
          <w:tcPr>
            <w:tcW w:w="1476" w:type="dxa"/>
            <w:tcBorders>
              <w:top w:val="nil"/>
              <w:left w:val="nil"/>
              <w:bottom w:val="single" w:sz="4" w:space="0" w:color="auto"/>
              <w:right w:val="single" w:sz="4" w:space="0" w:color="auto"/>
            </w:tcBorders>
            <w:noWrap/>
            <w:vAlign w:val="center"/>
            <w:hideMark/>
          </w:tcPr>
          <w:p w14:paraId="581F3F99" w14:textId="77777777" w:rsidR="00E81CAF" w:rsidRPr="00E81CAF" w:rsidRDefault="00E81CAF" w:rsidP="00E81CAF">
            <w:pPr>
              <w:spacing w:after="0" w:line="240" w:lineRule="auto"/>
              <w:jc w:val="right"/>
              <w:rPr>
                <w:color w:val="000000"/>
                <w:sz w:val="20"/>
              </w:rPr>
            </w:pPr>
            <w:r w:rsidRPr="00E81CAF">
              <w:rPr>
                <w:color w:val="000000"/>
                <w:sz w:val="20"/>
              </w:rPr>
              <w:t>1.423.911,91</w:t>
            </w:r>
          </w:p>
        </w:tc>
      </w:tr>
      <w:tr w:rsidR="00E81CAF" w:rsidRPr="00E81CAF" w14:paraId="15005E85"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08F40B72" w14:textId="77777777" w:rsidR="00E81CAF" w:rsidRPr="00E81CAF" w:rsidRDefault="00E81CAF" w:rsidP="00E81CAF">
            <w:pPr>
              <w:spacing w:after="0" w:line="240" w:lineRule="auto"/>
              <w:jc w:val="center"/>
              <w:rPr>
                <w:color w:val="000000"/>
                <w:sz w:val="20"/>
              </w:rPr>
            </w:pPr>
            <w:r w:rsidRPr="00E81CAF">
              <w:rPr>
                <w:color w:val="000000"/>
                <w:sz w:val="20"/>
              </w:rPr>
              <w:t>5.</w:t>
            </w:r>
          </w:p>
        </w:tc>
        <w:tc>
          <w:tcPr>
            <w:tcW w:w="6517" w:type="dxa"/>
            <w:tcBorders>
              <w:top w:val="nil"/>
              <w:left w:val="nil"/>
              <w:bottom w:val="single" w:sz="4" w:space="0" w:color="auto"/>
              <w:right w:val="single" w:sz="4" w:space="0" w:color="auto"/>
            </w:tcBorders>
            <w:noWrap/>
            <w:vAlign w:val="center"/>
            <w:hideMark/>
          </w:tcPr>
          <w:p w14:paraId="1567CAE4" w14:textId="77777777" w:rsidR="00E81CAF" w:rsidRPr="00E81CAF" w:rsidRDefault="00E81CAF" w:rsidP="00E81CAF">
            <w:pPr>
              <w:spacing w:after="0" w:line="240" w:lineRule="auto"/>
              <w:rPr>
                <w:color w:val="000000"/>
                <w:sz w:val="20"/>
              </w:rPr>
            </w:pPr>
            <w:r w:rsidRPr="00E81CAF">
              <w:rPr>
                <w:color w:val="000000"/>
                <w:sz w:val="20"/>
              </w:rPr>
              <w:t>Rekonstrukcija i dogradnja PŠ Nova Ves Petrijanečka</w:t>
            </w:r>
          </w:p>
        </w:tc>
        <w:tc>
          <w:tcPr>
            <w:tcW w:w="1476" w:type="dxa"/>
            <w:tcBorders>
              <w:top w:val="nil"/>
              <w:left w:val="nil"/>
              <w:bottom w:val="single" w:sz="4" w:space="0" w:color="auto"/>
              <w:right w:val="single" w:sz="4" w:space="0" w:color="auto"/>
            </w:tcBorders>
            <w:noWrap/>
            <w:vAlign w:val="center"/>
            <w:hideMark/>
          </w:tcPr>
          <w:p w14:paraId="49DF4254" w14:textId="77777777" w:rsidR="00E81CAF" w:rsidRPr="00E81CAF" w:rsidRDefault="00E81CAF" w:rsidP="00E81CAF">
            <w:pPr>
              <w:spacing w:after="0" w:line="240" w:lineRule="auto"/>
              <w:jc w:val="right"/>
              <w:rPr>
                <w:color w:val="000000"/>
                <w:sz w:val="20"/>
              </w:rPr>
            </w:pPr>
            <w:r w:rsidRPr="00E81CAF">
              <w:rPr>
                <w:color w:val="000000"/>
                <w:sz w:val="20"/>
              </w:rPr>
              <w:t>887.198,34</w:t>
            </w:r>
          </w:p>
        </w:tc>
      </w:tr>
      <w:tr w:rsidR="00E81CAF" w:rsidRPr="00E81CAF" w14:paraId="5A10D3B0"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4A36CB2A" w14:textId="77777777" w:rsidR="00E81CAF" w:rsidRPr="00E81CAF" w:rsidRDefault="00E81CAF" w:rsidP="00E81CAF">
            <w:pPr>
              <w:spacing w:after="0" w:line="240" w:lineRule="auto"/>
              <w:jc w:val="center"/>
              <w:rPr>
                <w:color w:val="000000"/>
                <w:sz w:val="20"/>
              </w:rPr>
            </w:pPr>
            <w:r w:rsidRPr="00E81CAF">
              <w:rPr>
                <w:color w:val="000000"/>
                <w:sz w:val="20"/>
              </w:rPr>
              <w:t>6.</w:t>
            </w:r>
          </w:p>
        </w:tc>
        <w:tc>
          <w:tcPr>
            <w:tcW w:w="6517" w:type="dxa"/>
            <w:tcBorders>
              <w:top w:val="nil"/>
              <w:left w:val="nil"/>
              <w:bottom w:val="single" w:sz="4" w:space="0" w:color="auto"/>
              <w:right w:val="single" w:sz="4" w:space="0" w:color="auto"/>
            </w:tcBorders>
            <w:noWrap/>
            <w:vAlign w:val="center"/>
            <w:hideMark/>
          </w:tcPr>
          <w:p w14:paraId="331CE299" w14:textId="77777777" w:rsidR="00E81CAF" w:rsidRPr="00E81CAF" w:rsidRDefault="00E81CAF" w:rsidP="00E81CAF">
            <w:pPr>
              <w:spacing w:after="0" w:line="240" w:lineRule="auto"/>
              <w:rPr>
                <w:color w:val="000000"/>
                <w:sz w:val="20"/>
              </w:rPr>
            </w:pPr>
            <w:r w:rsidRPr="00E81CAF">
              <w:rPr>
                <w:color w:val="000000"/>
                <w:sz w:val="20"/>
              </w:rPr>
              <w:t>I ti možeš</w:t>
            </w:r>
          </w:p>
        </w:tc>
        <w:tc>
          <w:tcPr>
            <w:tcW w:w="1476" w:type="dxa"/>
            <w:tcBorders>
              <w:top w:val="nil"/>
              <w:left w:val="nil"/>
              <w:bottom w:val="single" w:sz="4" w:space="0" w:color="auto"/>
              <w:right w:val="single" w:sz="4" w:space="0" w:color="auto"/>
            </w:tcBorders>
            <w:noWrap/>
            <w:vAlign w:val="center"/>
            <w:hideMark/>
          </w:tcPr>
          <w:p w14:paraId="762DE756" w14:textId="77777777" w:rsidR="00E81CAF" w:rsidRPr="00E81CAF" w:rsidRDefault="00E81CAF" w:rsidP="00E81CAF">
            <w:pPr>
              <w:spacing w:after="0" w:line="240" w:lineRule="auto"/>
              <w:jc w:val="right"/>
              <w:rPr>
                <w:color w:val="000000"/>
                <w:sz w:val="20"/>
              </w:rPr>
            </w:pPr>
            <w:r w:rsidRPr="00E81CAF">
              <w:rPr>
                <w:color w:val="000000"/>
                <w:sz w:val="20"/>
              </w:rPr>
              <w:t>1.944.766,29</w:t>
            </w:r>
          </w:p>
        </w:tc>
      </w:tr>
      <w:tr w:rsidR="00E81CAF" w:rsidRPr="00E81CAF" w14:paraId="75A3EBCC"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5295F41B" w14:textId="77777777" w:rsidR="00E81CAF" w:rsidRPr="00E81CAF" w:rsidRDefault="00E81CAF" w:rsidP="00E81CAF">
            <w:pPr>
              <w:spacing w:after="0" w:line="240" w:lineRule="auto"/>
              <w:jc w:val="center"/>
              <w:rPr>
                <w:color w:val="000000"/>
                <w:sz w:val="20"/>
              </w:rPr>
            </w:pPr>
            <w:r w:rsidRPr="00E81CAF">
              <w:rPr>
                <w:color w:val="000000"/>
                <w:sz w:val="20"/>
              </w:rPr>
              <w:t>7.</w:t>
            </w:r>
          </w:p>
        </w:tc>
        <w:tc>
          <w:tcPr>
            <w:tcW w:w="6517" w:type="dxa"/>
            <w:tcBorders>
              <w:top w:val="nil"/>
              <w:left w:val="nil"/>
              <w:bottom w:val="single" w:sz="4" w:space="0" w:color="auto"/>
              <w:right w:val="single" w:sz="4" w:space="0" w:color="auto"/>
            </w:tcBorders>
            <w:noWrap/>
            <w:vAlign w:val="center"/>
            <w:hideMark/>
          </w:tcPr>
          <w:p w14:paraId="5DC2A299" w14:textId="77777777" w:rsidR="00E81CAF" w:rsidRPr="00E81CAF" w:rsidRDefault="00E81CAF" w:rsidP="00E81CAF">
            <w:pPr>
              <w:spacing w:after="0" w:line="240" w:lineRule="auto"/>
              <w:rPr>
                <w:color w:val="000000"/>
                <w:sz w:val="20"/>
              </w:rPr>
            </w:pPr>
            <w:r w:rsidRPr="00E81CAF">
              <w:rPr>
                <w:color w:val="000000"/>
                <w:sz w:val="20"/>
              </w:rPr>
              <w:t>Energetska obnova upravne zgrade u Ivancu</w:t>
            </w:r>
          </w:p>
        </w:tc>
        <w:tc>
          <w:tcPr>
            <w:tcW w:w="1476" w:type="dxa"/>
            <w:tcBorders>
              <w:top w:val="nil"/>
              <w:left w:val="nil"/>
              <w:bottom w:val="single" w:sz="4" w:space="0" w:color="auto"/>
              <w:right w:val="single" w:sz="4" w:space="0" w:color="auto"/>
            </w:tcBorders>
            <w:noWrap/>
            <w:vAlign w:val="center"/>
            <w:hideMark/>
          </w:tcPr>
          <w:p w14:paraId="0EE4ABEA" w14:textId="77777777" w:rsidR="00E81CAF" w:rsidRPr="00E81CAF" w:rsidRDefault="00E81CAF" w:rsidP="00E81CAF">
            <w:pPr>
              <w:spacing w:after="0" w:line="240" w:lineRule="auto"/>
              <w:jc w:val="right"/>
              <w:rPr>
                <w:color w:val="000000"/>
                <w:sz w:val="20"/>
              </w:rPr>
            </w:pPr>
            <w:r w:rsidRPr="00E81CAF">
              <w:rPr>
                <w:color w:val="000000"/>
                <w:sz w:val="20"/>
              </w:rPr>
              <w:t>205.571,71</w:t>
            </w:r>
          </w:p>
        </w:tc>
      </w:tr>
      <w:tr w:rsidR="00E81CAF" w:rsidRPr="00E81CAF" w14:paraId="372BB6C8"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2C99EF5D" w14:textId="77777777" w:rsidR="00E81CAF" w:rsidRPr="00E81CAF" w:rsidRDefault="00E81CAF" w:rsidP="00E81CAF">
            <w:pPr>
              <w:spacing w:after="0" w:line="240" w:lineRule="auto"/>
              <w:jc w:val="center"/>
              <w:rPr>
                <w:color w:val="000000"/>
                <w:sz w:val="20"/>
              </w:rPr>
            </w:pPr>
            <w:r w:rsidRPr="00E81CAF">
              <w:rPr>
                <w:color w:val="000000"/>
                <w:sz w:val="20"/>
              </w:rPr>
              <w:t>8.</w:t>
            </w:r>
          </w:p>
        </w:tc>
        <w:tc>
          <w:tcPr>
            <w:tcW w:w="6517" w:type="dxa"/>
            <w:tcBorders>
              <w:top w:val="nil"/>
              <w:left w:val="nil"/>
              <w:bottom w:val="single" w:sz="4" w:space="0" w:color="auto"/>
              <w:right w:val="single" w:sz="4" w:space="0" w:color="auto"/>
            </w:tcBorders>
            <w:noWrap/>
            <w:vAlign w:val="center"/>
            <w:hideMark/>
          </w:tcPr>
          <w:p w14:paraId="28809F2C" w14:textId="77777777" w:rsidR="00E81CAF" w:rsidRPr="00E81CAF" w:rsidRDefault="00E81CAF" w:rsidP="00E81CAF">
            <w:pPr>
              <w:spacing w:after="0" w:line="240" w:lineRule="auto"/>
              <w:rPr>
                <w:color w:val="000000"/>
                <w:sz w:val="20"/>
              </w:rPr>
            </w:pPr>
            <w:r w:rsidRPr="00E81CAF">
              <w:rPr>
                <w:color w:val="000000"/>
                <w:sz w:val="20"/>
              </w:rPr>
              <w:t>GRECALE</w:t>
            </w:r>
          </w:p>
        </w:tc>
        <w:tc>
          <w:tcPr>
            <w:tcW w:w="1476" w:type="dxa"/>
            <w:tcBorders>
              <w:top w:val="nil"/>
              <w:left w:val="nil"/>
              <w:bottom w:val="single" w:sz="4" w:space="0" w:color="auto"/>
              <w:right w:val="single" w:sz="4" w:space="0" w:color="auto"/>
            </w:tcBorders>
            <w:noWrap/>
            <w:vAlign w:val="center"/>
            <w:hideMark/>
          </w:tcPr>
          <w:p w14:paraId="69673366" w14:textId="77777777" w:rsidR="00E81CAF" w:rsidRPr="00E81CAF" w:rsidRDefault="00E81CAF" w:rsidP="00E81CAF">
            <w:pPr>
              <w:spacing w:after="0" w:line="240" w:lineRule="auto"/>
              <w:jc w:val="right"/>
              <w:rPr>
                <w:color w:val="000000"/>
                <w:sz w:val="20"/>
              </w:rPr>
            </w:pPr>
            <w:r w:rsidRPr="00E81CAF">
              <w:rPr>
                <w:color w:val="000000"/>
                <w:sz w:val="20"/>
              </w:rPr>
              <w:t>112.666,90</w:t>
            </w:r>
          </w:p>
        </w:tc>
      </w:tr>
      <w:tr w:rsidR="00E81CAF" w:rsidRPr="00E81CAF" w14:paraId="5785D91F"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230FF19F" w14:textId="77777777" w:rsidR="00E81CAF" w:rsidRPr="00E81CAF" w:rsidRDefault="00E81CAF" w:rsidP="00E81CAF">
            <w:pPr>
              <w:spacing w:after="0" w:line="240" w:lineRule="auto"/>
              <w:jc w:val="center"/>
              <w:rPr>
                <w:color w:val="000000"/>
                <w:sz w:val="20"/>
              </w:rPr>
            </w:pPr>
            <w:r w:rsidRPr="00E81CAF">
              <w:rPr>
                <w:color w:val="000000"/>
                <w:sz w:val="20"/>
              </w:rPr>
              <w:t>9.</w:t>
            </w:r>
          </w:p>
        </w:tc>
        <w:tc>
          <w:tcPr>
            <w:tcW w:w="6517" w:type="dxa"/>
            <w:tcBorders>
              <w:top w:val="nil"/>
              <w:left w:val="nil"/>
              <w:bottom w:val="single" w:sz="4" w:space="0" w:color="auto"/>
              <w:right w:val="single" w:sz="4" w:space="0" w:color="auto"/>
            </w:tcBorders>
            <w:noWrap/>
            <w:vAlign w:val="center"/>
            <w:hideMark/>
          </w:tcPr>
          <w:p w14:paraId="35B527DF" w14:textId="77777777" w:rsidR="00E81CAF" w:rsidRPr="00E81CAF" w:rsidRDefault="00E81CAF" w:rsidP="00E81CAF">
            <w:pPr>
              <w:spacing w:after="0" w:line="240" w:lineRule="auto"/>
              <w:rPr>
                <w:color w:val="000000"/>
                <w:sz w:val="20"/>
              </w:rPr>
            </w:pPr>
            <w:r w:rsidRPr="00E81CAF">
              <w:rPr>
                <w:color w:val="000000"/>
                <w:sz w:val="20"/>
              </w:rPr>
              <w:t>Rekonstrukcija i opremanje Gospodarske Škole Vž</w:t>
            </w:r>
          </w:p>
        </w:tc>
        <w:tc>
          <w:tcPr>
            <w:tcW w:w="1476" w:type="dxa"/>
            <w:tcBorders>
              <w:top w:val="nil"/>
              <w:left w:val="nil"/>
              <w:bottom w:val="single" w:sz="4" w:space="0" w:color="auto"/>
              <w:right w:val="single" w:sz="4" w:space="0" w:color="auto"/>
            </w:tcBorders>
            <w:noWrap/>
            <w:vAlign w:val="center"/>
            <w:hideMark/>
          </w:tcPr>
          <w:p w14:paraId="01C757F4" w14:textId="77777777" w:rsidR="00E81CAF" w:rsidRPr="00E81CAF" w:rsidRDefault="00E81CAF" w:rsidP="00E81CAF">
            <w:pPr>
              <w:spacing w:after="0" w:line="240" w:lineRule="auto"/>
              <w:jc w:val="right"/>
              <w:rPr>
                <w:color w:val="000000"/>
                <w:sz w:val="20"/>
              </w:rPr>
            </w:pPr>
            <w:r w:rsidRPr="00E81CAF">
              <w:rPr>
                <w:color w:val="000000"/>
                <w:sz w:val="20"/>
              </w:rPr>
              <w:t>3.107.378,50</w:t>
            </w:r>
          </w:p>
        </w:tc>
      </w:tr>
      <w:tr w:rsidR="00E81CAF" w:rsidRPr="00E81CAF" w14:paraId="6052372D"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44E75DEB" w14:textId="77777777" w:rsidR="00E81CAF" w:rsidRPr="00E81CAF" w:rsidRDefault="00E81CAF" w:rsidP="00E81CAF">
            <w:pPr>
              <w:spacing w:after="0" w:line="240" w:lineRule="auto"/>
              <w:jc w:val="center"/>
              <w:rPr>
                <w:color w:val="000000"/>
                <w:sz w:val="20"/>
              </w:rPr>
            </w:pPr>
            <w:r w:rsidRPr="00E81CAF">
              <w:rPr>
                <w:color w:val="000000"/>
                <w:sz w:val="20"/>
              </w:rPr>
              <w:t>10.</w:t>
            </w:r>
          </w:p>
        </w:tc>
        <w:tc>
          <w:tcPr>
            <w:tcW w:w="6517" w:type="dxa"/>
            <w:tcBorders>
              <w:top w:val="nil"/>
              <w:left w:val="nil"/>
              <w:bottom w:val="single" w:sz="4" w:space="0" w:color="auto"/>
              <w:right w:val="single" w:sz="4" w:space="0" w:color="auto"/>
            </w:tcBorders>
            <w:noWrap/>
            <w:vAlign w:val="center"/>
            <w:hideMark/>
          </w:tcPr>
          <w:p w14:paraId="7B0AE12D" w14:textId="77777777" w:rsidR="00E81CAF" w:rsidRPr="00E81CAF" w:rsidRDefault="00E81CAF" w:rsidP="00E81CAF">
            <w:pPr>
              <w:spacing w:after="0" w:line="240" w:lineRule="auto"/>
              <w:rPr>
                <w:color w:val="000000"/>
                <w:sz w:val="20"/>
              </w:rPr>
            </w:pPr>
            <w:r w:rsidRPr="00E81CAF">
              <w:rPr>
                <w:color w:val="000000"/>
                <w:sz w:val="20"/>
              </w:rPr>
              <w:t>Rekonstrukcija i opremanje-Graditeljska,prirodoslovna i rudarska škola Vž</w:t>
            </w:r>
          </w:p>
        </w:tc>
        <w:tc>
          <w:tcPr>
            <w:tcW w:w="1476" w:type="dxa"/>
            <w:tcBorders>
              <w:top w:val="nil"/>
              <w:left w:val="nil"/>
              <w:bottom w:val="single" w:sz="4" w:space="0" w:color="auto"/>
              <w:right w:val="single" w:sz="4" w:space="0" w:color="auto"/>
            </w:tcBorders>
            <w:noWrap/>
            <w:vAlign w:val="center"/>
            <w:hideMark/>
          </w:tcPr>
          <w:p w14:paraId="6B6D6F42" w14:textId="77777777" w:rsidR="00E81CAF" w:rsidRPr="00E81CAF" w:rsidRDefault="00E81CAF" w:rsidP="00E81CAF">
            <w:pPr>
              <w:spacing w:after="0" w:line="240" w:lineRule="auto"/>
              <w:jc w:val="right"/>
              <w:rPr>
                <w:color w:val="000000"/>
                <w:sz w:val="20"/>
              </w:rPr>
            </w:pPr>
            <w:r w:rsidRPr="00E81CAF">
              <w:rPr>
                <w:color w:val="000000"/>
                <w:sz w:val="20"/>
              </w:rPr>
              <w:t>2.348.375,00</w:t>
            </w:r>
          </w:p>
        </w:tc>
      </w:tr>
      <w:tr w:rsidR="00E81CAF" w:rsidRPr="00E81CAF" w14:paraId="27B32D75"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4D1BB175" w14:textId="77777777" w:rsidR="00E81CAF" w:rsidRPr="00E81CAF" w:rsidRDefault="00E81CAF" w:rsidP="00E81CAF">
            <w:pPr>
              <w:spacing w:after="0" w:line="240" w:lineRule="auto"/>
              <w:jc w:val="center"/>
              <w:rPr>
                <w:color w:val="000000"/>
                <w:sz w:val="20"/>
              </w:rPr>
            </w:pPr>
            <w:r w:rsidRPr="00E81CAF">
              <w:rPr>
                <w:color w:val="000000"/>
                <w:sz w:val="20"/>
              </w:rPr>
              <w:t>11.</w:t>
            </w:r>
          </w:p>
        </w:tc>
        <w:tc>
          <w:tcPr>
            <w:tcW w:w="6517" w:type="dxa"/>
            <w:tcBorders>
              <w:top w:val="nil"/>
              <w:left w:val="nil"/>
              <w:bottom w:val="single" w:sz="4" w:space="0" w:color="auto"/>
              <w:right w:val="single" w:sz="4" w:space="0" w:color="auto"/>
            </w:tcBorders>
            <w:noWrap/>
            <w:vAlign w:val="center"/>
            <w:hideMark/>
          </w:tcPr>
          <w:p w14:paraId="3A73B5DD" w14:textId="77777777" w:rsidR="00E81CAF" w:rsidRPr="00E81CAF" w:rsidRDefault="00E81CAF" w:rsidP="00E81CAF">
            <w:pPr>
              <w:spacing w:after="0" w:line="240" w:lineRule="auto"/>
              <w:rPr>
                <w:color w:val="000000"/>
                <w:sz w:val="20"/>
              </w:rPr>
            </w:pPr>
            <w:r w:rsidRPr="00E81CAF">
              <w:rPr>
                <w:color w:val="000000"/>
                <w:sz w:val="20"/>
              </w:rPr>
              <w:t>Rekonstrukcija-dogradnja školske sportske dvorane PŠ Črešnjevo</w:t>
            </w:r>
          </w:p>
        </w:tc>
        <w:tc>
          <w:tcPr>
            <w:tcW w:w="1476" w:type="dxa"/>
            <w:tcBorders>
              <w:top w:val="nil"/>
              <w:left w:val="nil"/>
              <w:bottom w:val="single" w:sz="4" w:space="0" w:color="auto"/>
              <w:right w:val="single" w:sz="4" w:space="0" w:color="auto"/>
            </w:tcBorders>
            <w:noWrap/>
            <w:vAlign w:val="center"/>
            <w:hideMark/>
          </w:tcPr>
          <w:p w14:paraId="0414A965" w14:textId="77777777" w:rsidR="00E81CAF" w:rsidRPr="00E81CAF" w:rsidRDefault="00E81CAF" w:rsidP="00E81CAF">
            <w:pPr>
              <w:spacing w:after="0" w:line="240" w:lineRule="auto"/>
              <w:jc w:val="right"/>
              <w:rPr>
                <w:color w:val="000000"/>
                <w:sz w:val="20"/>
              </w:rPr>
            </w:pPr>
            <w:r w:rsidRPr="00E81CAF">
              <w:rPr>
                <w:color w:val="000000"/>
                <w:sz w:val="20"/>
              </w:rPr>
              <w:t>891.139,11</w:t>
            </w:r>
          </w:p>
        </w:tc>
      </w:tr>
      <w:tr w:rsidR="00E81CAF" w:rsidRPr="00E81CAF" w14:paraId="6C5BF55A"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1FE3A9F6" w14:textId="77777777" w:rsidR="00E81CAF" w:rsidRPr="00E81CAF" w:rsidRDefault="00E81CAF" w:rsidP="00E81CAF">
            <w:pPr>
              <w:spacing w:after="0" w:line="240" w:lineRule="auto"/>
              <w:jc w:val="center"/>
              <w:rPr>
                <w:color w:val="000000"/>
                <w:sz w:val="20"/>
              </w:rPr>
            </w:pPr>
            <w:r w:rsidRPr="00E81CAF">
              <w:rPr>
                <w:color w:val="000000"/>
                <w:sz w:val="20"/>
              </w:rPr>
              <w:t>12.</w:t>
            </w:r>
          </w:p>
        </w:tc>
        <w:tc>
          <w:tcPr>
            <w:tcW w:w="6517" w:type="dxa"/>
            <w:tcBorders>
              <w:top w:val="nil"/>
              <w:left w:val="nil"/>
              <w:bottom w:val="single" w:sz="4" w:space="0" w:color="auto"/>
              <w:right w:val="single" w:sz="4" w:space="0" w:color="auto"/>
            </w:tcBorders>
            <w:noWrap/>
            <w:vAlign w:val="center"/>
            <w:hideMark/>
          </w:tcPr>
          <w:p w14:paraId="7BFC0EA4" w14:textId="77777777" w:rsidR="00E81CAF" w:rsidRPr="00E81CAF" w:rsidRDefault="00E81CAF" w:rsidP="00E81CAF">
            <w:pPr>
              <w:spacing w:after="0" w:line="240" w:lineRule="auto"/>
              <w:rPr>
                <w:color w:val="000000"/>
                <w:sz w:val="20"/>
              </w:rPr>
            </w:pPr>
            <w:r w:rsidRPr="00E81CAF">
              <w:rPr>
                <w:color w:val="000000"/>
                <w:sz w:val="20"/>
              </w:rPr>
              <w:t>Dogradnja školsko sportske dvorane PŠ Svibovec Podravski</w:t>
            </w:r>
          </w:p>
        </w:tc>
        <w:tc>
          <w:tcPr>
            <w:tcW w:w="1476" w:type="dxa"/>
            <w:tcBorders>
              <w:top w:val="nil"/>
              <w:left w:val="nil"/>
              <w:bottom w:val="single" w:sz="4" w:space="0" w:color="auto"/>
              <w:right w:val="single" w:sz="4" w:space="0" w:color="auto"/>
            </w:tcBorders>
            <w:noWrap/>
            <w:vAlign w:val="center"/>
            <w:hideMark/>
          </w:tcPr>
          <w:p w14:paraId="0FCAA656" w14:textId="77777777" w:rsidR="00E81CAF" w:rsidRPr="00E81CAF" w:rsidRDefault="00E81CAF" w:rsidP="00E81CAF">
            <w:pPr>
              <w:spacing w:after="0" w:line="240" w:lineRule="auto"/>
              <w:jc w:val="right"/>
              <w:rPr>
                <w:color w:val="000000"/>
                <w:sz w:val="20"/>
              </w:rPr>
            </w:pPr>
            <w:r w:rsidRPr="00E81CAF">
              <w:rPr>
                <w:color w:val="000000"/>
                <w:sz w:val="20"/>
              </w:rPr>
              <w:t>505.088,96</w:t>
            </w:r>
          </w:p>
        </w:tc>
      </w:tr>
      <w:tr w:rsidR="00E81CAF" w:rsidRPr="00E81CAF" w14:paraId="02DAD4D6"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1EE05BCF" w14:textId="77777777" w:rsidR="00E81CAF" w:rsidRPr="00E81CAF" w:rsidRDefault="00E81CAF" w:rsidP="00E81CAF">
            <w:pPr>
              <w:spacing w:after="0" w:line="240" w:lineRule="auto"/>
              <w:jc w:val="center"/>
              <w:rPr>
                <w:color w:val="000000"/>
                <w:sz w:val="20"/>
              </w:rPr>
            </w:pPr>
            <w:r w:rsidRPr="00E81CAF">
              <w:rPr>
                <w:color w:val="000000"/>
                <w:sz w:val="20"/>
              </w:rPr>
              <w:t>13.</w:t>
            </w:r>
          </w:p>
        </w:tc>
        <w:tc>
          <w:tcPr>
            <w:tcW w:w="6517" w:type="dxa"/>
            <w:tcBorders>
              <w:top w:val="nil"/>
              <w:left w:val="nil"/>
              <w:bottom w:val="single" w:sz="4" w:space="0" w:color="auto"/>
              <w:right w:val="single" w:sz="4" w:space="0" w:color="auto"/>
            </w:tcBorders>
            <w:noWrap/>
            <w:vAlign w:val="center"/>
            <w:hideMark/>
          </w:tcPr>
          <w:p w14:paraId="202ECD12" w14:textId="77777777" w:rsidR="00E81CAF" w:rsidRPr="00E81CAF" w:rsidRDefault="00E81CAF" w:rsidP="00E81CAF">
            <w:pPr>
              <w:spacing w:after="0" w:line="240" w:lineRule="auto"/>
              <w:rPr>
                <w:color w:val="000000"/>
                <w:sz w:val="20"/>
              </w:rPr>
            </w:pPr>
            <w:r w:rsidRPr="00E81CAF">
              <w:rPr>
                <w:color w:val="000000"/>
                <w:sz w:val="20"/>
              </w:rPr>
              <w:t>Dogradnja školske sportske dvorane PŠ Remetinec</w:t>
            </w:r>
          </w:p>
        </w:tc>
        <w:tc>
          <w:tcPr>
            <w:tcW w:w="1476" w:type="dxa"/>
            <w:tcBorders>
              <w:top w:val="nil"/>
              <w:left w:val="nil"/>
              <w:bottom w:val="single" w:sz="4" w:space="0" w:color="auto"/>
              <w:right w:val="single" w:sz="4" w:space="0" w:color="auto"/>
            </w:tcBorders>
            <w:noWrap/>
            <w:vAlign w:val="center"/>
            <w:hideMark/>
          </w:tcPr>
          <w:p w14:paraId="3E7E0035" w14:textId="77777777" w:rsidR="00E81CAF" w:rsidRPr="00E81CAF" w:rsidRDefault="00E81CAF" w:rsidP="00E81CAF">
            <w:pPr>
              <w:spacing w:after="0" w:line="240" w:lineRule="auto"/>
              <w:jc w:val="right"/>
              <w:rPr>
                <w:color w:val="000000"/>
                <w:sz w:val="20"/>
              </w:rPr>
            </w:pPr>
            <w:r w:rsidRPr="00E81CAF">
              <w:rPr>
                <w:color w:val="000000"/>
                <w:sz w:val="20"/>
              </w:rPr>
              <w:t>806.276,18</w:t>
            </w:r>
          </w:p>
        </w:tc>
      </w:tr>
      <w:tr w:rsidR="00E81CAF" w:rsidRPr="00E81CAF" w14:paraId="0CCA9B90"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2023D895" w14:textId="77777777" w:rsidR="00E81CAF" w:rsidRPr="00E81CAF" w:rsidRDefault="00E81CAF" w:rsidP="00E81CAF">
            <w:pPr>
              <w:spacing w:after="0" w:line="240" w:lineRule="auto"/>
              <w:jc w:val="center"/>
              <w:rPr>
                <w:color w:val="000000"/>
                <w:sz w:val="20"/>
              </w:rPr>
            </w:pPr>
            <w:r w:rsidRPr="00E81CAF">
              <w:rPr>
                <w:color w:val="000000"/>
                <w:sz w:val="20"/>
              </w:rPr>
              <w:t>14.</w:t>
            </w:r>
          </w:p>
        </w:tc>
        <w:tc>
          <w:tcPr>
            <w:tcW w:w="6517" w:type="dxa"/>
            <w:tcBorders>
              <w:top w:val="nil"/>
              <w:left w:val="nil"/>
              <w:bottom w:val="single" w:sz="4" w:space="0" w:color="auto"/>
              <w:right w:val="single" w:sz="4" w:space="0" w:color="auto"/>
            </w:tcBorders>
            <w:noWrap/>
            <w:vAlign w:val="center"/>
            <w:hideMark/>
          </w:tcPr>
          <w:p w14:paraId="1A388082" w14:textId="77777777" w:rsidR="00E81CAF" w:rsidRPr="00E81CAF" w:rsidRDefault="00E81CAF" w:rsidP="00E81CAF">
            <w:pPr>
              <w:spacing w:after="0" w:line="240" w:lineRule="auto"/>
              <w:rPr>
                <w:color w:val="000000"/>
                <w:sz w:val="20"/>
              </w:rPr>
            </w:pPr>
            <w:r w:rsidRPr="00E81CAF">
              <w:rPr>
                <w:color w:val="000000"/>
                <w:sz w:val="20"/>
              </w:rPr>
              <w:t>Dogradnja školske sportske dvorane PŠ J.E.Drašković Cvetlin</w:t>
            </w:r>
          </w:p>
        </w:tc>
        <w:tc>
          <w:tcPr>
            <w:tcW w:w="1476" w:type="dxa"/>
            <w:tcBorders>
              <w:top w:val="nil"/>
              <w:left w:val="nil"/>
              <w:bottom w:val="single" w:sz="4" w:space="0" w:color="auto"/>
              <w:right w:val="single" w:sz="4" w:space="0" w:color="auto"/>
            </w:tcBorders>
            <w:noWrap/>
            <w:vAlign w:val="center"/>
            <w:hideMark/>
          </w:tcPr>
          <w:p w14:paraId="04A6C46F" w14:textId="77777777" w:rsidR="00E81CAF" w:rsidRPr="00E81CAF" w:rsidRDefault="00E81CAF" w:rsidP="00E81CAF">
            <w:pPr>
              <w:spacing w:after="0" w:line="240" w:lineRule="auto"/>
              <w:jc w:val="right"/>
              <w:rPr>
                <w:color w:val="000000"/>
                <w:sz w:val="20"/>
              </w:rPr>
            </w:pPr>
            <w:r w:rsidRPr="00E81CAF">
              <w:rPr>
                <w:color w:val="000000"/>
                <w:sz w:val="20"/>
              </w:rPr>
              <w:t>514.408,14</w:t>
            </w:r>
          </w:p>
        </w:tc>
      </w:tr>
      <w:tr w:rsidR="00E81CAF" w:rsidRPr="00E81CAF" w14:paraId="0A27AC84"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53BE907E" w14:textId="77777777" w:rsidR="00E81CAF" w:rsidRPr="00E81CAF" w:rsidRDefault="00E81CAF" w:rsidP="00E81CAF">
            <w:pPr>
              <w:spacing w:after="0" w:line="240" w:lineRule="auto"/>
              <w:jc w:val="center"/>
              <w:rPr>
                <w:color w:val="000000"/>
                <w:sz w:val="20"/>
              </w:rPr>
            </w:pPr>
            <w:r w:rsidRPr="00E81CAF">
              <w:rPr>
                <w:color w:val="000000"/>
                <w:sz w:val="20"/>
              </w:rPr>
              <w:t>15.</w:t>
            </w:r>
          </w:p>
        </w:tc>
        <w:tc>
          <w:tcPr>
            <w:tcW w:w="6517" w:type="dxa"/>
            <w:tcBorders>
              <w:top w:val="nil"/>
              <w:left w:val="nil"/>
              <w:bottom w:val="single" w:sz="4" w:space="0" w:color="auto"/>
              <w:right w:val="single" w:sz="4" w:space="0" w:color="auto"/>
            </w:tcBorders>
            <w:noWrap/>
            <w:vAlign w:val="center"/>
            <w:hideMark/>
          </w:tcPr>
          <w:p w14:paraId="50BA1FEB" w14:textId="77777777" w:rsidR="00E81CAF" w:rsidRPr="00E81CAF" w:rsidRDefault="00E81CAF" w:rsidP="00E81CAF">
            <w:pPr>
              <w:spacing w:after="0" w:line="240" w:lineRule="auto"/>
              <w:rPr>
                <w:color w:val="000000"/>
                <w:sz w:val="20"/>
              </w:rPr>
            </w:pPr>
            <w:r w:rsidRPr="00E81CAF">
              <w:rPr>
                <w:color w:val="000000"/>
                <w:sz w:val="20"/>
              </w:rPr>
              <w:t>Dogradnja školske sportske dvorane PŠ Ladanje Gornje</w:t>
            </w:r>
          </w:p>
        </w:tc>
        <w:tc>
          <w:tcPr>
            <w:tcW w:w="1476" w:type="dxa"/>
            <w:tcBorders>
              <w:top w:val="nil"/>
              <w:left w:val="nil"/>
              <w:bottom w:val="single" w:sz="4" w:space="0" w:color="auto"/>
              <w:right w:val="single" w:sz="4" w:space="0" w:color="auto"/>
            </w:tcBorders>
            <w:noWrap/>
            <w:vAlign w:val="center"/>
            <w:hideMark/>
          </w:tcPr>
          <w:p w14:paraId="0F6754AA" w14:textId="77777777" w:rsidR="00E81CAF" w:rsidRPr="00E81CAF" w:rsidRDefault="00E81CAF" w:rsidP="00E81CAF">
            <w:pPr>
              <w:spacing w:after="0" w:line="240" w:lineRule="auto"/>
              <w:jc w:val="right"/>
              <w:rPr>
                <w:color w:val="000000"/>
                <w:sz w:val="20"/>
              </w:rPr>
            </w:pPr>
            <w:r w:rsidRPr="00E81CAF">
              <w:rPr>
                <w:color w:val="000000"/>
                <w:sz w:val="20"/>
              </w:rPr>
              <w:t>491.408,31</w:t>
            </w:r>
          </w:p>
        </w:tc>
      </w:tr>
      <w:tr w:rsidR="00E81CAF" w:rsidRPr="00E81CAF" w14:paraId="26F62470"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2F12049E" w14:textId="77777777" w:rsidR="00E81CAF" w:rsidRPr="00E81CAF" w:rsidRDefault="00E81CAF" w:rsidP="00E81CAF">
            <w:pPr>
              <w:spacing w:after="0" w:line="240" w:lineRule="auto"/>
              <w:jc w:val="center"/>
              <w:rPr>
                <w:color w:val="000000"/>
                <w:sz w:val="20"/>
              </w:rPr>
            </w:pPr>
            <w:r w:rsidRPr="00E81CAF">
              <w:rPr>
                <w:color w:val="000000"/>
                <w:sz w:val="20"/>
              </w:rPr>
              <w:t>16.</w:t>
            </w:r>
          </w:p>
        </w:tc>
        <w:tc>
          <w:tcPr>
            <w:tcW w:w="6517" w:type="dxa"/>
            <w:tcBorders>
              <w:top w:val="nil"/>
              <w:left w:val="nil"/>
              <w:bottom w:val="single" w:sz="4" w:space="0" w:color="auto"/>
              <w:right w:val="single" w:sz="4" w:space="0" w:color="auto"/>
            </w:tcBorders>
            <w:noWrap/>
            <w:vAlign w:val="center"/>
            <w:hideMark/>
          </w:tcPr>
          <w:p w14:paraId="6147F1DF" w14:textId="77777777" w:rsidR="00E81CAF" w:rsidRPr="00E81CAF" w:rsidRDefault="00E81CAF" w:rsidP="00E81CAF">
            <w:pPr>
              <w:spacing w:after="0" w:line="240" w:lineRule="auto"/>
              <w:rPr>
                <w:color w:val="000000"/>
                <w:sz w:val="20"/>
              </w:rPr>
            </w:pPr>
            <w:r w:rsidRPr="00E81CAF">
              <w:rPr>
                <w:color w:val="000000"/>
                <w:sz w:val="20"/>
              </w:rPr>
              <w:t>Arboretum Opeka-održiva zelena destinacija</w:t>
            </w:r>
          </w:p>
        </w:tc>
        <w:tc>
          <w:tcPr>
            <w:tcW w:w="1476" w:type="dxa"/>
            <w:tcBorders>
              <w:top w:val="nil"/>
              <w:left w:val="nil"/>
              <w:bottom w:val="single" w:sz="4" w:space="0" w:color="auto"/>
              <w:right w:val="single" w:sz="4" w:space="0" w:color="auto"/>
            </w:tcBorders>
            <w:noWrap/>
            <w:vAlign w:val="center"/>
            <w:hideMark/>
          </w:tcPr>
          <w:p w14:paraId="2016D500" w14:textId="77777777" w:rsidR="00E81CAF" w:rsidRPr="00E81CAF" w:rsidRDefault="00E81CAF" w:rsidP="00E81CAF">
            <w:pPr>
              <w:spacing w:after="0" w:line="240" w:lineRule="auto"/>
              <w:jc w:val="right"/>
              <w:rPr>
                <w:color w:val="000000"/>
                <w:sz w:val="20"/>
              </w:rPr>
            </w:pPr>
            <w:r w:rsidRPr="00E81CAF">
              <w:rPr>
                <w:color w:val="000000"/>
                <w:sz w:val="20"/>
              </w:rPr>
              <w:t>4.319.329,31</w:t>
            </w:r>
          </w:p>
        </w:tc>
      </w:tr>
      <w:tr w:rsidR="00E81CAF" w:rsidRPr="00E81CAF" w14:paraId="318B4DE6"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4BE0A272" w14:textId="77777777" w:rsidR="00E81CAF" w:rsidRPr="00E81CAF" w:rsidRDefault="00E81CAF" w:rsidP="00E81CAF">
            <w:pPr>
              <w:spacing w:after="0" w:line="240" w:lineRule="auto"/>
              <w:jc w:val="center"/>
              <w:rPr>
                <w:color w:val="000000"/>
                <w:sz w:val="20"/>
              </w:rPr>
            </w:pPr>
            <w:r w:rsidRPr="00E81CAF">
              <w:rPr>
                <w:color w:val="000000"/>
                <w:sz w:val="20"/>
              </w:rPr>
              <w:t>17.</w:t>
            </w:r>
          </w:p>
        </w:tc>
        <w:tc>
          <w:tcPr>
            <w:tcW w:w="6517" w:type="dxa"/>
            <w:tcBorders>
              <w:top w:val="nil"/>
              <w:left w:val="nil"/>
              <w:bottom w:val="single" w:sz="4" w:space="0" w:color="auto"/>
              <w:right w:val="single" w:sz="4" w:space="0" w:color="auto"/>
            </w:tcBorders>
            <w:noWrap/>
            <w:vAlign w:val="center"/>
            <w:hideMark/>
          </w:tcPr>
          <w:p w14:paraId="03C4CD61" w14:textId="77777777" w:rsidR="00E81CAF" w:rsidRPr="00E81CAF" w:rsidRDefault="00E81CAF" w:rsidP="00E81CAF">
            <w:pPr>
              <w:spacing w:after="0" w:line="240" w:lineRule="auto"/>
              <w:rPr>
                <w:color w:val="000000"/>
                <w:sz w:val="20"/>
              </w:rPr>
            </w:pPr>
            <w:r w:rsidRPr="00E81CAF">
              <w:rPr>
                <w:color w:val="000000"/>
                <w:sz w:val="20"/>
              </w:rPr>
              <w:t>Amazon of Europe BT HU-HR</w:t>
            </w:r>
          </w:p>
        </w:tc>
        <w:tc>
          <w:tcPr>
            <w:tcW w:w="1476" w:type="dxa"/>
            <w:tcBorders>
              <w:top w:val="nil"/>
              <w:left w:val="nil"/>
              <w:bottom w:val="single" w:sz="4" w:space="0" w:color="auto"/>
              <w:right w:val="single" w:sz="4" w:space="0" w:color="auto"/>
            </w:tcBorders>
            <w:noWrap/>
            <w:vAlign w:val="center"/>
            <w:hideMark/>
          </w:tcPr>
          <w:p w14:paraId="3007AD2C" w14:textId="77777777" w:rsidR="00E81CAF" w:rsidRPr="00E81CAF" w:rsidRDefault="00E81CAF" w:rsidP="00E81CAF">
            <w:pPr>
              <w:spacing w:after="0" w:line="240" w:lineRule="auto"/>
              <w:jc w:val="right"/>
              <w:rPr>
                <w:color w:val="000000"/>
                <w:sz w:val="20"/>
              </w:rPr>
            </w:pPr>
            <w:r w:rsidRPr="00E81CAF">
              <w:rPr>
                <w:color w:val="000000"/>
                <w:sz w:val="20"/>
              </w:rPr>
              <w:t>350.300,00</w:t>
            </w:r>
          </w:p>
        </w:tc>
      </w:tr>
      <w:tr w:rsidR="00E81CAF" w:rsidRPr="00E81CAF" w14:paraId="39C9C817"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48382D06" w14:textId="77777777" w:rsidR="00E81CAF" w:rsidRPr="00E81CAF" w:rsidRDefault="00E81CAF" w:rsidP="00E81CAF">
            <w:pPr>
              <w:spacing w:after="0" w:line="240" w:lineRule="auto"/>
              <w:jc w:val="center"/>
              <w:rPr>
                <w:color w:val="000000"/>
                <w:sz w:val="20"/>
              </w:rPr>
            </w:pPr>
            <w:r w:rsidRPr="00E81CAF">
              <w:rPr>
                <w:color w:val="000000"/>
                <w:sz w:val="20"/>
              </w:rPr>
              <w:t>18.</w:t>
            </w:r>
          </w:p>
        </w:tc>
        <w:tc>
          <w:tcPr>
            <w:tcW w:w="6517" w:type="dxa"/>
            <w:tcBorders>
              <w:top w:val="nil"/>
              <w:left w:val="nil"/>
              <w:bottom w:val="single" w:sz="4" w:space="0" w:color="auto"/>
              <w:right w:val="single" w:sz="4" w:space="0" w:color="auto"/>
            </w:tcBorders>
            <w:noWrap/>
            <w:vAlign w:val="center"/>
            <w:hideMark/>
          </w:tcPr>
          <w:p w14:paraId="2E24090F" w14:textId="77777777" w:rsidR="00E81CAF" w:rsidRPr="00E81CAF" w:rsidRDefault="00E81CAF" w:rsidP="00E81CAF">
            <w:pPr>
              <w:spacing w:after="0" w:line="240" w:lineRule="auto"/>
              <w:rPr>
                <w:color w:val="000000"/>
                <w:sz w:val="20"/>
              </w:rPr>
            </w:pPr>
            <w:r w:rsidRPr="00E81CAF">
              <w:rPr>
                <w:color w:val="000000"/>
                <w:sz w:val="20"/>
              </w:rPr>
              <w:t>Izgradnja školske sportske dvorane PŠ Greda-Jurketinec</w:t>
            </w:r>
          </w:p>
        </w:tc>
        <w:tc>
          <w:tcPr>
            <w:tcW w:w="1476" w:type="dxa"/>
            <w:tcBorders>
              <w:top w:val="nil"/>
              <w:left w:val="nil"/>
              <w:bottom w:val="single" w:sz="4" w:space="0" w:color="auto"/>
              <w:right w:val="single" w:sz="4" w:space="0" w:color="auto"/>
            </w:tcBorders>
            <w:noWrap/>
            <w:vAlign w:val="center"/>
            <w:hideMark/>
          </w:tcPr>
          <w:p w14:paraId="377C6209" w14:textId="77777777" w:rsidR="00E81CAF" w:rsidRPr="00E81CAF" w:rsidRDefault="00E81CAF" w:rsidP="00E81CAF">
            <w:pPr>
              <w:spacing w:after="0" w:line="240" w:lineRule="auto"/>
              <w:jc w:val="right"/>
              <w:rPr>
                <w:color w:val="000000"/>
                <w:sz w:val="20"/>
              </w:rPr>
            </w:pPr>
            <w:r w:rsidRPr="00E81CAF">
              <w:rPr>
                <w:color w:val="000000"/>
                <w:sz w:val="20"/>
              </w:rPr>
              <w:t>499.832,72</w:t>
            </w:r>
          </w:p>
        </w:tc>
      </w:tr>
      <w:tr w:rsidR="00E81CAF" w:rsidRPr="00E81CAF" w14:paraId="1502A8D6"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0D0DE583" w14:textId="77777777" w:rsidR="00E81CAF" w:rsidRPr="00E81CAF" w:rsidRDefault="00E81CAF" w:rsidP="00E81CAF">
            <w:pPr>
              <w:spacing w:after="0" w:line="240" w:lineRule="auto"/>
              <w:jc w:val="center"/>
              <w:rPr>
                <w:color w:val="000000"/>
                <w:sz w:val="20"/>
              </w:rPr>
            </w:pPr>
            <w:r w:rsidRPr="00E81CAF">
              <w:rPr>
                <w:color w:val="000000"/>
                <w:sz w:val="20"/>
              </w:rPr>
              <w:t>19.</w:t>
            </w:r>
          </w:p>
        </w:tc>
        <w:tc>
          <w:tcPr>
            <w:tcW w:w="6517" w:type="dxa"/>
            <w:tcBorders>
              <w:top w:val="nil"/>
              <w:left w:val="nil"/>
              <w:bottom w:val="single" w:sz="4" w:space="0" w:color="auto"/>
              <w:right w:val="single" w:sz="4" w:space="0" w:color="auto"/>
            </w:tcBorders>
            <w:noWrap/>
            <w:vAlign w:val="center"/>
            <w:hideMark/>
          </w:tcPr>
          <w:p w14:paraId="692A8D2E" w14:textId="77777777" w:rsidR="00E81CAF" w:rsidRPr="00E81CAF" w:rsidRDefault="00E81CAF" w:rsidP="00E81CAF">
            <w:pPr>
              <w:spacing w:after="0" w:line="240" w:lineRule="auto"/>
              <w:rPr>
                <w:color w:val="000000"/>
                <w:sz w:val="20"/>
              </w:rPr>
            </w:pPr>
            <w:r w:rsidRPr="00E81CAF">
              <w:rPr>
                <w:color w:val="000000"/>
                <w:sz w:val="20"/>
              </w:rPr>
              <w:t>Izgradnja školske sportske dvorane PŠ Druškovec</w:t>
            </w:r>
          </w:p>
        </w:tc>
        <w:tc>
          <w:tcPr>
            <w:tcW w:w="1476" w:type="dxa"/>
            <w:tcBorders>
              <w:top w:val="nil"/>
              <w:left w:val="nil"/>
              <w:bottom w:val="single" w:sz="4" w:space="0" w:color="auto"/>
              <w:right w:val="single" w:sz="4" w:space="0" w:color="auto"/>
            </w:tcBorders>
            <w:noWrap/>
            <w:vAlign w:val="center"/>
            <w:hideMark/>
          </w:tcPr>
          <w:p w14:paraId="20771F90" w14:textId="77777777" w:rsidR="00E81CAF" w:rsidRPr="00E81CAF" w:rsidRDefault="00E81CAF" w:rsidP="00E81CAF">
            <w:pPr>
              <w:spacing w:after="0" w:line="240" w:lineRule="auto"/>
              <w:jc w:val="right"/>
              <w:rPr>
                <w:color w:val="000000"/>
                <w:sz w:val="20"/>
              </w:rPr>
            </w:pPr>
            <w:r w:rsidRPr="00E81CAF">
              <w:rPr>
                <w:color w:val="000000"/>
                <w:sz w:val="20"/>
              </w:rPr>
              <w:t>860.236,40</w:t>
            </w:r>
          </w:p>
        </w:tc>
      </w:tr>
      <w:tr w:rsidR="00E81CAF" w:rsidRPr="00E81CAF" w14:paraId="5D703EA7"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2213E532" w14:textId="77777777" w:rsidR="00E81CAF" w:rsidRPr="00E81CAF" w:rsidRDefault="00E81CAF" w:rsidP="00E81CAF">
            <w:pPr>
              <w:spacing w:after="0" w:line="240" w:lineRule="auto"/>
              <w:jc w:val="center"/>
              <w:rPr>
                <w:color w:val="000000"/>
                <w:sz w:val="20"/>
              </w:rPr>
            </w:pPr>
            <w:r w:rsidRPr="00E81CAF">
              <w:rPr>
                <w:color w:val="000000"/>
                <w:sz w:val="20"/>
              </w:rPr>
              <w:t>20.</w:t>
            </w:r>
          </w:p>
        </w:tc>
        <w:tc>
          <w:tcPr>
            <w:tcW w:w="6517" w:type="dxa"/>
            <w:tcBorders>
              <w:top w:val="nil"/>
              <w:left w:val="nil"/>
              <w:bottom w:val="single" w:sz="4" w:space="0" w:color="auto"/>
              <w:right w:val="single" w:sz="4" w:space="0" w:color="auto"/>
            </w:tcBorders>
            <w:noWrap/>
            <w:vAlign w:val="center"/>
            <w:hideMark/>
          </w:tcPr>
          <w:p w14:paraId="704C85A1" w14:textId="77777777" w:rsidR="00E81CAF" w:rsidRPr="00E81CAF" w:rsidRDefault="00E81CAF" w:rsidP="00E81CAF">
            <w:pPr>
              <w:spacing w:after="0" w:line="240" w:lineRule="auto"/>
              <w:rPr>
                <w:color w:val="000000"/>
                <w:sz w:val="20"/>
              </w:rPr>
            </w:pPr>
            <w:r w:rsidRPr="00E81CAF">
              <w:rPr>
                <w:color w:val="000000"/>
                <w:sz w:val="20"/>
              </w:rPr>
              <w:t>Izgradnja školske sportske dvorane PŠ Lovrečan</w:t>
            </w:r>
          </w:p>
        </w:tc>
        <w:tc>
          <w:tcPr>
            <w:tcW w:w="1476" w:type="dxa"/>
            <w:tcBorders>
              <w:top w:val="nil"/>
              <w:left w:val="nil"/>
              <w:bottom w:val="single" w:sz="4" w:space="0" w:color="auto"/>
              <w:right w:val="single" w:sz="4" w:space="0" w:color="auto"/>
            </w:tcBorders>
            <w:noWrap/>
            <w:vAlign w:val="center"/>
            <w:hideMark/>
          </w:tcPr>
          <w:p w14:paraId="42AF62DB" w14:textId="77777777" w:rsidR="00E81CAF" w:rsidRPr="00E81CAF" w:rsidRDefault="00E81CAF" w:rsidP="00E81CAF">
            <w:pPr>
              <w:spacing w:after="0" w:line="240" w:lineRule="auto"/>
              <w:jc w:val="right"/>
              <w:rPr>
                <w:color w:val="000000"/>
                <w:sz w:val="20"/>
              </w:rPr>
            </w:pPr>
            <w:r w:rsidRPr="00E81CAF">
              <w:rPr>
                <w:color w:val="000000"/>
                <w:sz w:val="20"/>
              </w:rPr>
              <w:t>498.222,28</w:t>
            </w:r>
          </w:p>
        </w:tc>
      </w:tr>
      <w:tr w:rsidR="00E81CAF" w:rsidRPr="00E81CAF" w14:paraId="301D49C3"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3620775E" w14:textId="77777777" w:rsidR="00E81CAF" w:rsidRPr="00E81CAF" w:rsidRDefault="00E81CAF" w:rsidP="00E81CAF">
            <w:pPr>
              <w:spacing w:after="0" w:line="240" w:lineRule="auto"/>
              <w:jc w:val="center"/>
              <w:rPr>
                <w:color w:val="000000"/>
                <w:sz w:val="20"/>
              </w:rPr>
            </w:pPr>
            <w:r w:rsidRPr="00E81CAF">
              <w:rPr>
                <w:color w:val="000000"/>
                <w:sz w:val="20"/>
              </w:rPr>
              <w:t>21.</w:t>
            </w:r>
          </w:p>
        </w:tc>
        <w:tc>
          <w:tcPr>
            <w:tcW w:w="6517" w:type="dxa"/>
            <w:tcBorders>
              <w:top w:val="nil"/>
              <w:left w:val="nil"/>
              <w:bottom w:val="single" w:sz="4" w:space="0" w:color="auto"/>
              <w:right w:val="single" w:sz="4" w:space="0" w:color="auto"/>
            </w:tcBorders>
            <w:noWrap/>
            <w:vAlign w:val="center"/>
            <w:hideMark/>
          </w:tcPr>
          <w:p w14:paraId="16901DCE" w14:textId="77777777" w:rsidR="00E81CAF" w:rsidRPr="00E81CAF" w:rsidRDefault="00E81CAF" w:rsidP="00E81CAF">
            <w:pPr>
              <w:spacing w:after="0" w:line="240" w:lineRule="auto"/>
              <w:rPr>
                <w:color w:val="000000"/>
                <w:sz w:val="20"/>
              </w:rPr>
            </w:pPr>
            <w:r w:rsidRPr="00E81CAF">
              <w:rPr>
                <w:color w:val="000000"/>
                <w:sz w:val="20"/>
              </w:rPr>
              <w:t>Izgradnja školske sportske dvorane OŠ u Donjoj Voći</w:t>
            </w:r>
          </w:p>
        </w:tc>
        <w:tc>
          <w:tcPr>
            <w:tcW w:w="1476" w:type="dxa"/>
            <w:tcBorders>
              <w:top w:val="nil"/>
              <w:left w:val="nil"/>
              <w:bottom w:val="single" w:sz="4" w:space="0" w:color="auto"/>
              <w:right w:val="single" w:sz="4" w:space="0" w:color="auto"/>
            </w:tcBorders>
            <w:noWrap/>
            <w:vAlign w:val="center"/>
            <w:hideMark/>
          </w:tcPr>
          <w:p w14:paraId="31D41458" w14:textId="77777777" w:rsidR="00E81CAF" w:rsidRPr="00E81CAF" w:rsidRDefault="00E81CAF" w:rsidP="00E81CAF">
            <w:pPr>
              <w:spacing w:after="0" w:line="240" w:lineRule="auto"/>
              <w:jc w:val="right"/>
              <w:rPr>
                <w:color w:val="000000"/>
                <w:sz w:val="20"/>
              </w:rPr>
            </w:pPr>
            <w:r w:rsidRPr="00E81CAF">
              <w:rPr>
                <w:color w:val="000000"/>
                <w:sz w:val="20"/>
              </w:rPr>
              <w:t>1.996.821,03</w:t>
            </w:r>
          </w:p>
        </w:tc>
      </w:tr>
      <w:tr w:rsidR="00E81CAF" w:rsidRPr="00E81CAF" w14:paraId="56048FA3"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6EA396DA" w14:textId="77777777" w:rsidR="00E81CAF" w:rsidRPr="00E81CAF" w:rsidRDefault="00E81CAF" w:rsidP="00E81CAF">
            <w:pPr>
              <w:spacing w:after="0" w:line="240" w:lineRule="auto"/>
              <w:jc w:val="center"/>
              <w:rPr>
                <w:color w:val="000000"/>
                <w:sz w:val="20"/>
              </w:rPr>
            </w:pPr>
            <w:r w:rsidRPr="00E81CAF">
              <w:rPr>
                <w:color w:val="000000"/>
                <w:sz w:val="20"/>
              </w:rPr>
              <w:t>22.</w:t>
            </w:r>
          </w:p>
        </w:tc>
        <w:tc>
          <w:tcPr>
            <w:tcW w:w="6517" w:type="dxa"/>
            <w:tcBorders>
              <w:top w:val="nil"/>
              <w:left w:val="nil"/>
              <w:bottom w:val="single" w:sz="4" w:space="0" w:color="auto"/>
              <w:right w:val="single" w:sz="4" w:space="0" w:color="auto"/>
            </w:tcBorders>
            <w:noWrap/>
            <w:vAlign w:val="center"/>
            <w:hideMark/>
          </w:tcPr>
          <w:p w14:paraId="14DF214F" w14:textId="77777777" w:rsidR="00E81CAF" w:rsidRPr="00E81CAF" w:rsidRDefault="00E81CAF" w:rsidP="00E81CAF">
            <w:pPr>
              <w:spacing w:after="0" w:line="240" w:lineRule="auto"/>
              <w:rPr>
                <w:color w:val="000000"/>
                <w:sz w:val="20"/>
              </w:rPr>
            </w:pPr>
            <w:r w:rsidRPr="00E81CAF">
              <w:rPr>
                <w:color w:val="000000"/>
                <w:sz w:val="20"/>
              </w:rPr>
              <w:t>Rekonstrukcija i dogradnja sportske dvorane u PŠ Nedeljanec</w:t>
            </w:r>
          </w:p>
        </w:tc>
        <w:tc>
          <w:tcPr>
            <w:tcW w:w="1476" w:type="dxa"/>
            <w:tcBorders>
              <w:top w:val="nil"/>
              <w:left w:val="nil"/>
              <w:bottom w:val="single" w:sz="4" w:space="0" w:color="auto"/>
              <w:right w:val="single" w:sz="4" w:space="0" w:color="auto"/>
            </w:tcBorders>
            <w:noWrap/>
            <w:vAlign w:val="center"/>
            <w:hideMark/>
          </w:tcPr>
          <w:p w14:paraId="4F0D8DC5" w14:textId="77777777" w:rsidR="00E81CAF" w:rsidRPr="00E81CAF" w:rsidRDefault="00E81CAF" w:rsidP="00E81CAF">
            <w:pPr>
              <w:spacing w:after="0" w:line="240" w:lineRule="auto"/>
              <w:jc w:val="right"/>
              <w:rPr>
                <w:color w:val="000000"/>
                <w:sz w:val="20"/>
              </w:rPr>
            </w:pPr>
            <w:r w:rsidRPr="00E81CAF">
              <w:rPr>
                <w:color w:val="000000"/>
                <w:sz w:val="20"/>
              </w:rPr>
              <w:t>513.652,97</w:t>
            </w:r>
          </w:p>
        </w:tc>
      </w:tr>
      <w:tr w:rsidR="00E81CAF" w:rsidRPr="00E81CAF" w14:paraId="2CE4256F"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08074E97" w14:textId="77777777" w:rsidR="00E81CAF" w:rsidRPr="00E81CAF" w:rsidRDefault="00E81CAF" w:rsidP="00E81CAF">
            <w:pPr>
              <w:spacing w:after="0" w:line="240" w:lineRule="auto"/>
              <w:jc w:val="center"/>
              <w:rPr>
                <w:color w:val="000000"/>
                <w:sz w:val="20"/>
              </w:rPr>
            </w:pPr>
            <w:r w:rsidRPr="00E81CAF">
              <w:rPr>
                <w:color w:val="000000"/>
                <w:sz w:val="20"/>
              </w:rPr>
              <w:t>23.</w:t>
            </w:r>
          </w:p>
        </w:tc>
        <w:tc>
          <w:tcPr>
            <w:tcW w:w="6517" w:type="dxa"/>
            <w:tcBorders>
              <w:top w:val="nil"/>
              <w:left w:val="nil"/>
              <w:bottom w:val="single" w:sz="4" w:space="0" w:color="auto"/>
              <w:right w:val="single" w:sz="4" w:space="0" w:color="auto"/>
            </w:tcBorders>
            <w:noWrap/>
            <w:vAlign w:val="center"/>
            <w:hideMark/>
          </w:tcPr>
          <w:p w14:paraId="1B5E9953" w14:textId="77777777" w:rsidR="00E81CAF" w:rsidRPr="00E81CAF" w:rsidRDefault="00E81CAF" w:rsidP="00E81CAF">
            <w:pPr>
              <w:spacing w:after="0" w:line="240" w:lineRule="auto"/>
              <w:rPr>
                <w:color w:val="000000"/>
                <w:sz w:val="20"/>
              </w:rPr>
            </w:pPr>
            <w:r w:rsidRPr="00E81CAF">
              <w:rPr>
                <w:color w:val="000000"/>
                <w:sz w:val="20"/>
              </w:rPr>
              <w:t>Dogradnja školske sportske dvorane PŠ Kelemen</w:t>
            </w:r>
          </w:p>
        </w:tc>
        <w:tc>
          <w:tcPr>
            <w:tcW w:w="1476" w:type="dxa"/>
            <w:tcBorders>
              <w:top w:val="nil"/>
              <w:left w:val="nil"/>
              <w:bottom w:val="single" w:sz="4" w:space="0" w:color="auto"/>
              <w:right w:val="single" w:sz="4" w:space="0" w:color="auto"/>
            </w:tcBorders>
            <w:noWrap/>
            <w:vAlign w:val="center"/>
            <w:hideMark/>
          </w:tcPr>
          <w:p w14:paraId="172CCDE9" w14:textId="77777777" w:rsidR="00E81CAF" w:rsidRPr="00E81CAF" w:rsidRDefault="00E81CAF" w:rsidP="00E81CAF">
            <w:pPr>
              <w:spacing w:after="0" w:line="240" w:lineRule="auto"/>
              <w:jc w:val="right"/>
              <w:rPr>
                <w:color w:val="000000"/>
                <w:sz w:val="20"/>
              </w:rPr>
            </w:pPr>
            <w:r w:rsidRPr="00E81CAF">
              <w:rPr>
                <w:color w:val="000000"/>
                <w:sz w:val="20"/>
              </w:rPr>
              <w:t>496.566,62</w:t>
            </w:r>
          </w:p>
        </w:tc>
      </w:tr>
      <w:tr w:rsidR="00E81CAF" w:rsidRPr="00E81CAF" w14:paraId="5939577C" w14:textId="77777777" w:rsidTr="00C52CC7">
        <w:trPr>
          <w:trHeight w:val="267"/>
          <w:jc w:val="center"/>
        </w:trPr>
        <w:tc>
          <w:tcPr>
            <w:tcW w:w="988" w:type="dxa"/>
            <w:tcBorders>
              <w:top w:val="nil"/>
              <w:left w:val="single" w:sz="4" w:space="0" w:color="auto"/>
              <w:bottom w:val="single" w:sz="4" w:space="0" w:color="auto"/>
              <w:right w:val="single" w:sz="4" w:space="0" w:color="auto"/>
            </w:tcBorders>
            <w:noWrap/>
            <w:vAlign w:val="center"/>
            <w:hideMark/>
          </w:tcPr>
          <w:p w14:paraId="477CD93B" w14:textId="77777777" w:rsidR="00E81CAF" w:rsidRPr="00E81CAF" w:rsidRDefault="00E81CAF" w:rsidP="00E81CAF">
            <w:pPr>
              <w:spacing w:after="0" w:line="240" w:lineRule="auto"/>
              <w:jc w:val="center"/>
              <w:rPr>
                <w:color w:val="000000"/>
                <w:sz w:val="20"/>
              </w:rPr>
            </w:pPr>
            <w:r w:rsidRPr="00E81CAF">
              <w:rPr>
                <w:color w:val="000000"/>
                <w:sz w:val="20"/>
              </w:rPr>
              <w:t>24.</w:t>
            </w:r>
          </w:p>
        </w:tc>
        <w:tc>
          <w:tcPr>
            <w:tcW w:w="6517" w:type="dxa"/>
            <w:tcBorders>
              <w:top w:val="nil"/>
              <w:left w:val="nil"/>
              <w:bottom w:val="single" w:sz="4" w:space="0" w:color="auto"/>
              <w:right w:val="single" w:sz="4" w:space="0" w:color="auto"/>
            </w:tcBorders>
            <w:noWrap/>
            <w:vAlign w:val="center"/>
            <w:hideMark/>
          </w:tcPr>
          <w:p w14:paraId="1BA69855" w14:textId="77777777" w:rsidR="00E81CAF" w:rsidRPr="00E81CAF" w:rsidRDefault="00E81CAF" w:rsidP="00E81CAF">
            <w:pPr>
              <w:spacing w:after="0" w:line="240" w:lineRule="auto"/>
              <w:rPr>
                <w:color w:val="000000"/>
                <w:sz w:val="20"/>
              </w:rPr>
            </w:pPr>
            <w:r w:rsidRPr="00E81CAF">
              <w:rPr>
                <w:color w:val="000000"/>
                <w:sz w:val="20"/>
              </w:rPr>
              <w:t>LeadEx</w:t>
            </w:r>
          </w:p>
        </w:tc>
        <w:tc>
          <w:tcPr>
            <w:tcW w:w="1476" w:type="dxa"/>
            <w:tcBorders>
              <w:top w:val="nil"/>
              <w:left w:val="nil"/>
              <w:bottom w:val="single" w:sz="4" w:space="0" w:color="auto"/>
              <w:right w:val="single" w:sz="4" w:space="0" w:color="auto"/>
            </w:tcBorders>
            <w:noWrap/>
            <w:vAlign w:val="center"/>
            <w:hideMark/>
          </w:tcPr>
          <w:p w14:paraId="612EBDEF" w14:textId="77777777" w:rsidR="00E81CAF" w:rsidRPr="00E81CAF" w:rsidRDefault="00E81CAF" w:rsidP="00E81CAF">
            <w:pPr>
              <w:spacing w:after="0" w:line="240" w:lineRule="auto"/>
              <w:jc w:val="right"/>
              <w:rPr>
                <w:color w:val="000000"/>
                <w:sz w:val="20"/>
              </w:rPr>
            </w:pPr>
            <w:r w:rsidRPr="00E81CAF">
              <w:rPr>
                <w:color w:val="000000"/>
                <w:sz w:val="20"/>
              </w:rPr>
              <w:t>126.331,64</w:t>
            </w:r>
          </w:p>
        </w:tc>
      </w:tr>
      <w:tr w:rsidR="00E81CAF" w:rsidRPr="00E81CAF" w14:paraId="72FAA842" w14:textId="77777777" w:rsidTr="00C52CC7">
        <w:trPr>
          <w:trHeight w:val="281"/>
          <w:jc w:val="center"/>
        </w:trPr>
        <w:tc>
          <w:tcPr>
            <w:tcW w:w="7505" w:type="dxa"/>
            <w:gridSpan w:val="2"/>
            <w:tcBorders>
              <w:top w:val="single" w:sz="4" w:space="0" w:color="auto"/>
              <w:left w:val="single" w:sz="4" w:space="0" w:color="auto"/>
              <w:bottom w:val="single" w:sz="4" w:space="0" w:color="auto"/>
              <w:right w:val="single" w:sz="4" w:space="0" w:color="auto"/>
            </w:tcBorders>
            <w:shd w:val="clear" w:color="000000" w:fill="FAE2D5" w:themeFill="accent2" w:themeFillTint="33"/>
            <w:noWrap/>
            <w:vAlign w:val="center"/>
            <w:hideMark/>
          </w:tcPr>
          <w:p w14:paraId="07DE0BD6" w14:textId="77777777" w:rsidR="00E81CAF" w:rsidRPr="00E81CAF" w:rsidRDefault="00E81CAF" w:rsidP="00E81CAF">
            <w:pPr>
              <w:spacing w:after="0" w:line="240" w:lineRule="auto"/>
              <w:jc w:val="center"/>
              <w:rPr>
                <w:b/>
                <w:bCs/>
                <w:sz w:val="20"/>
              </w:rPr>
            </w:pPr>
            <w:r w:rsidRPr="00E81CAF">
              <w:rPr>
                <w:b/>
                <w:bCs/>
                <w:sz w:val="20"/>
              </w:rPr>
              <w:t>Ukupno</w:t>
            </w:r>
          </w:p>
        </w:tc>
        <w:tc>
          <w:tcPr>
            <w:tcW w:w="1476" w:type="dxa"/>
            <w:tcBorders>
              <w:top w:val="nil"/>
              <w:left w:val="nil"/>
              <w:bottom w:val="single" w:sz="4" w:space="0" w:color="auto"/>
              <w:right w:val="single" w:sz="4" w:space="0" w:color="auto"/>
            </w:tcBorders>
            <w:shd w:val="clear" w:color="000000" w:fill="FAE2D5" w:themeFill="accent2" w:themeFillTint="33"/>
            <w:noWrap/>
            <w:vAlign w:val="center"/>
            <w:hideMark/>
          </w:tcPr>
          <w:p w14:paraId="6C78D7C6" w14:textId="77777777" w:rsidR="00E81CAF" w:rsidRPr="00E81CAF" w:rsidRDefault="00E81CAF" w:rsidP="00E81CAF">
            <w:pPr>
              <w:spacing w:after="0" w:line="240" w:lineRule="auto"/>
              <w:jc w:val="right"/>
              <w:rPr>
                <w:b/>
                <w:bCs/>
                <w:sz w:val="20"/>
              </w:rPr>
            </w:pPr>
            <w:r w:rsidRPr="00E81CAF">
              <w:rPr>
                <w:b/>
                <w:bCs/>
                <w:sz w:val="20"/>
              </w:rPr>
              <w:t>24.721.982,81</w:t>
            </w:r>
          </w:p>
        </w:tc>
      </w:tr>
    </w:tbl>
    <w:p w14:paraId="1CFD3BFB" w14:textId="77777777" w:rsidR="00CF3950" w:rsidRPr="00D5700D" w:rsidRDefault="00CF3950" w:rsidP="00CF3950">
      <w:pPr>
        <w:jc w:val="both"/>
        <w:rPr>
          <w:sz w:val="20"/>
        </w:rPr>
      </w:pPr>
    </w:p>
    <w:p w14:paraId="485B6656" w14:textId="7F8683F6" w:rsidR="00C52CC7" w:rsidRPr="00D5700D" w:rsidRDefault="00947B9E" w:rsidP="00C52CC7">
      <w:pPr>
        <w:spacing w:after="0" w:line="240" w:lineRule="auto"/>
        <w:jc w:val="both"/>
        <w:rPr>
          <w:szCs w:val="24"/>
        </w:rPr>
      </w:pPr>
      <w:r w:rsidRPr="00D5700D">
        <w:rPr>
          <w:szCs w:val="24"/>
        </w:rPr>
        <w:t>Bilješke sastavila:</w:t>
      </w:r>
      <w:r w:rsidR="00C52CC7" w:rsidRPr="00D5700D">
        <w:rPr>
          <w:szCs w:val="24"/>
        </w:rPr>
        <w:t xml:space="preserve"> </w:t>
      </w:r>
      <w:r w:rsidR="00D5700D" w:rsidRPr="00D5700D">
        <w:rPr>
          <w:szCs w:val="24"/>
        </w:rPr>
        <w:t>Nikolina Novoselec</w:t>
      </w:r>
      <w:r w:rsidR="00D5700D" w:rsidRPr="00D5700D">
        <w:rPr>
          <w:szCs w:val="24"/>
        </w:rPr>
        <w:tab/>
      </w:r>
      <w:r w:rsidR="00C52CC7" w:rsidRPr="00D5700D">
        <w:rPr>
          <w:szCs w:val="24"/>
        </w:rPr>
        <w:tab/>
      </w:r>
      <w:r w:rsidR="00C52CC7" w:rsidRPr="00D5700D">
        <w:rPr>
          <w:szCs w:val="24"/>
        </w:rPr>
        <w:tab/>
      </w:r>
      <w:r w:rsidR="00C52CC7" w:rsidRPr="00D5700D">
        <w:rPr>
          <w:szCs w:val="24"/>
        </w:rPr>
        <w:tab/>
      </w:r>
      <w:r w:rsidR="00C52CC7" w:rsidRPr="00D5700D">
        <w:rPr>
          <w:szCs w:val="24"/>
        </w:rPr>
        <w:tab/>
      </w:r>
      <w:r w:rsidR="00C52CC7" w:rsidRPr="00D5700D">
        <w:rPr>
          <w:szCs w:val="24"/>
        </w:rPr>
        <w:tab/>
      </w:r>
    </w:p>
    <w:p w14:paraId="11BF721E" w14:textId="77777777" w:rsidR="00D5700D" w:rsidRDefault="00D5700D" w:rsidP="00D5700D">
      <w:pPr>
        <w:spacing w:after="0" w:line="240" w:lineRule="auto"/>
        <w:ind w:left="7080"/>
        <w:jc w:val="both"/>
        <w:rPr>
          <w:b/>
          <w:szCs w:val="24"/>
        </w:rPr>
      </w:pPr>
      <w:r w:rsidRPr="00D5700D">
        <w:rPr>
          <w:szCs w:val="24"/>
        </w:rPr>
        <w:t>Zakonski zastupnik</w:t>
      </w:r>
      <w:r w:rsidRPr="00D5700D">
        <w:rPr>
          <w:b/>
          <w:szCs w:val="24"/>
        </w:rPr>
        <w:t xml:space="preserve">  </w:t>
      </w:r>
    </w:p>
    <w:p w14:paraId="71A7205C" w14:textId="7BA146DE" w:rsidR="00D5700D" w:rsidRDefault="00D5700D" w:rsidP="00D5700D">
      <w:pPr>
        <w:spacing w:after="0" w:line="240" w:lineRule="auto"/>
        <w:ind w:left="7080"/>
        <w:jc w:val="both"/>
        <w:rPr>
          <w:b/>
          <w:szCs w:val="24"/>
        </w:rPr>
      </w:pPr>
      <w:r>
        <w:rPr>
          <w:b/>
          <w:szCs w:val="24"/>
        </w:rPr>
        <w:t xml:space="preserve">         ŽUPAN</w:t>
      </w:r>
      <w:r w:rsidRPr="00D5700D">
        <w:rPr>
          <w:b/>
          <w:szCs w:val="24"/>
        </w:rPr>
        <w:t xml:space="preserve">      </w:t>
      </w:r>
    </w:p>
    <w:p w14:paraId="41EFA317" w14:textId="35C9A24A" w:rsidR="00947B9E" w:rsidRDefault="00D5700D" w:rsidP="00D5700D">
      <w:pPr>
        <w:spacing w:after="0" w:line="240" w:lineRule="auto"/>
        <w:ind w:left="7080"/>
        <w:jc w:val="both"/>
        <w:rPr>
          <w:b/>
        </w:rPr>
      </w:pPr>
      <w:r>
        <w:rPr>
          <w:b/>
          <w:szCs w:val="24"/>
        </w:rPr>
        <w:t xml:space="preserve"> </w:t>
      </w:r>
      <w:r w:rsidRPr="00D5700D">
        <w:rPr>
          <w:b/>
          <w:szCs w:val="24"/>
        </w:rPr>
        <w:t>Anđelko Stričak</w:t>
      </w:r>
      <w:r w:rsidR="00C52CC7" w:rsidRPr="00D5700D">
        <w:rPr>
          <w:szCs w:val="24"/>
        </w:rPr>
        <w:t xml:space="preserve">  </w:t>
      </w:r>
    </w:p>
    <w:p w14:paraId="4F8EF49A" w14:textId="7528B58C" w:rsidR="00947B9E" w:rsidRDefault="00D5700D" w:rsidP="00CF3950">
      <w:pPr>
        <w:jc w:val="both"/>
      </w:pPr>
      <w:r>
        <w:t xml:space="preserve"> </w:t>
      </w:r>
    </w:p>
    <w:sectPr w:rsidR="00947B9E" w:rsidSect="00D5700D">
      <w:pgSz w:w="11906" w:h="16838" w:code="9"/>
      <w:pgMar w:top="907"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0783"/>
    <w:multiLevelType w:val="multilevel"/>
    <w:tmpl w:val="3322E7E6"/>
    <w:lvl w:ilvl="0">
      <w:start w:val="4"/>
      <w:numFmt w:val="decimal"/>
      <w:lvlText w:val="%1."/>
      <w:lvlJc w:val="left"/>
      <w:pPr>
        <w:ind w:left="720" w:hanging="360"/>
      </w:pPr>
      <w:rPr>
        <w:rFonts w:hint="default"/>
      </w:rPr>
    </w:lvl>
    <w:lvl w:ilvl="1">
      <w:start w:val="1"/>
      <w:numFmt w:val="decimal"/>
      <w:lvlText w:val="1.%2."/>
      <w:lvlJc w:val="left"/>
      <w:pPr>
        <w:ind w:left="840" w:hanging="480"/>
      </w:pPr>
      <w:rPr>
        <w:rFonts w:hint="default"/>
        <w:b/>
        <w:i/>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89C0341"/>
    <w:multiLevelType w:val="hybridMultilevel"/>
    <w:tmpl w:val="D1B6E794"/>
    <w:name w:val="disc"/>
    <w:lvl w:ilvl="0" w:tplc="B0F682A6">
      <w:start w:val="1"/>
      <w:numFmt w:val="bullet"/>
      <w:lvlText w:val="•"/>
      <w:lvlJc w:val="left"/>
      <w:pPr>
        <w:ind w:left="720" w:hanging="360"/>
      </w:pPr>
    </w:lvl>
    <w:lvl w:ilvl="1" w:tplc="B29ED484">
      <w:start w:val="1"/>
      <w:numFmt w:val="bullet"/>
      <w:lvlText w:val="•"/>
      <w:lvlJc w:val="left"/>
      <w:pPr>
        <w:ind w:left="1440" w:hanging="360"/>
      </w:pPr>
    </w:lvl>
    <w:lvl w:ilvl="2" w:tplc="5A84028E">
      <w:start w:val="1"/>
      <w:numFmt w:val="bullet"/>
      <w:lvlText w:val="•"/>
      <w:lvlJc w:val="left"/>
      <w:pPr>
        <w:ind w:left="2160" w:hanging="360"/>
      </w:pPr>
    </w:lvl>
    <w:lvl w:ilvl="3" w:tplc="6C628E64">
      <w:start w:val="1"/>
      <w:numFmt w:val="bullet"/>
      <w:lvlText w:val="•"/>
      <w:lvlJc w:val="left"/>
      <w:pPr>
        <w:ind w:left="2880" w:hanging="360"/>
      </w:pPr>
    </w:lvl>
    <w:lvl w:ilvl="4" w:tplc="3802F5BC">
      <w:start w:val="1"/>
      <w:numFmt w:val="bullet"/>
      <w:lvlText w:val="•"/>
      <w:lvlJc w:val="left"/>
      <w:pPr>
        <w:ind w:left="3600" w:hanging="360"/>
      </w:pPr>
    </w:lvl>
    <w:lvl w:ilvl="5" w:tplc="B734B76C">
      <w:start w:val="1"/>
      <w:numFmt w:val="bullet"/>
      <w:lvlText w:val="•"/>
      <w:lvlJc w:val="left"/>
      <w:pPr>
        <w:ind w:left="4320" w:hanging="360"/>
      </w:pPr>
    </w:lvl>
    <w:lvl w:ilvl="6" w:tplc="2EEEA5C8">
      <w:start w:val="1"/>
      <w:numFmt w:val="bullet"/>
      <w:lvlText w:val="•"/>
      <w:lvlJc w:val="left"/>
      <w:pPr>
        <w:ind w:left="5040" w:hanging="360"/>
      </w:pPr>
    </w:lvl>
    <w:lvl w:ilvl="7" w:tplc="89D2AC00">
      <w:start w:val="1"/>
      <w:numFmt w:val="bullet"/>
      <w:lvlText w:val="•"/>
      <w:lvlJc w:val="left"/>
      <w:pPr>
        <w:ind w:left="5760" w:hanging="360"/>
      </w:pPr>
    </w:lvl>
    <w:lvl w:ilvl="8" w:tplc="2CFE7EB0">
      <w:start w:val="1"/>
      <w:numFmt w:val="bullet"/>
      <w:lvlText w:val="•"/>
      <w:lvlJc w:val="left"/>
      <w:pPr>
        <w:ind w:left="6480" w:hanging="360"/>
      </w:pPr>
    </w:lvl>
  </w:abstractNum>
  <w:num w:numId="1" w16cid:durableId="841091216">
    <w:abstractNumId w:val="1"/>
    <w:lvlOverride w:ilvl="0">
      <w:startOverride w:val="1"/>
    </w:lvlOverride>
  </w:num>
  <w:num w:numId="2" w16cid:durableId="64042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87"/>
    <w:rsid w:val="000B2BF4"/>
    <w:rsid w:val="00193803"/>
    <w:rsid w:val="001D7229"/>
    <w:rsid w:val="00203687"/>
    <w:rsid w:val="00350EC0"/>
    <w:rsid w:val="005F0775"/>
    <w:rsid w:val="006976E8"/>
    <w:rsid w:val="008F6751"/>
    <w:rsid w:val="00947B9E"/>
    <w:rsid w:val="009737E8"/>
    <w:rsid w:val="009A6EBA"/>
    <w:rsid w:val="00B13B67"/>
    <w:rsid w:val="00B41CC9"/>
    <w:rsid w:val="00BA3E87"/>
    <w:rsid w:val="00BB5A70"/>
    <w:rsid w:val="00BC74D6"/>
    <w:rsid w:val="00C31626"/>
    <w:rsid w:val="00C52CC7"/>
    <w:rsid w:val="00CF3950"/>
    <w:rsid w:val="00D5700D"/>
    <w:rsid w:val="00D70FD1"/>
    <w:rsid w:val="00DB676C"/>
    <w:rsid w:val="00E81C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8EF2"/>
  <w15:docId w15:val="{1F88D6AD-3F33-4A16-BB32-A0785794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6516</Words>
  <Characters>37145</Characters>
  <Application>Microsoft Office Word</Application>
  <DocSecurity>0</DocSecurity>
  <Lines>309</Lines>
  <Paragraphs>87</Paragraphs>
  <ScaleCrop>false</ScaleCrop>
  <Company/>
  <LinksUpToDate>false</LinksUpToDate>
  <CharactersWithSpaces>43574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Novoselec</dc:creator>
  <cp:lastModifiedBy>Nikolina Novoselec</cp:lastModifiedBy>
  <cp:revision>2</cp:revision>
  <dcterms:created xsi:type="dcterms:W3CDTF">2026-02-16T08:51:00Z</dcterms:created>
  <dcterms:modified xsi:type="dcterms:W3CDTF">2026-02-16T08:51:00Z</dcterms:modified>
</cp:coreProperties>
</file>